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C6DC0" w14:textId="5335847B" w:rsidR="002A0C85" w:rsidRPr="002A0C85" w:rsidRDefault="002A0C85" w:rsidP="002A0C85">
      <w:pPr>
        <w:pStyle w:val="Heading1"/>
        <w:numPr>
          <w:ilvl w:val="0"/>
          <w:numId w:val="3"/>
        </w:numPr>
        <w:spacing w:before="79"/>
        <w:rPr>
          <w:w w:val="105"/>
          <w:sz w:val="22"/>
          <w:szCs w:val="22"/>
        </w:rPr>
      </w:pPr>
      <w:bookmarkStart w:id="0" w:name="_GoBack"/>
      <w:r>
        <w:rPr>
          <w:w w:val="105"/>
          <w:sz w:val="22"/>
          <w:szCs w:val="22"/>
        </w:rPr>
        <w:t>PLEASE NOTE, T, F, SBIR/STTR, and OT grants are not allowed in the Major and Minor user section.</w:t>
      </w:r>
    </w:p>
    <w:bookmarkEnd w:id="0"/>
    <w:p w14:paraId="3608A73D" w14:textId="77777777" w:rsidR="002A0C85" w:rsidRDefault="002A0C85">
      <w:pPr>
        <w:pStyle w:val="Heading1"/>
        <w:spacing w:before="79"/>
        <w:ind w:left="140"/>
        <w:rPr>
          <w:w w:val="105"/>
        </w:rPr>
      </w:pPr>
    </w:p>
    <w:p w14:paraId="6BFE5168" w14:textId="3B0B27F5" w:rsidR="00601245" w:rsidRPr="00EA2D0A" w:rsidRDefault="00EA2D0A">
      <w:pPr>
        <w:pStyle w:val="Heading1"/>
        <w:spacing w:before="79"/>
        <w:ind w:left="140"/>
        <w:rPr>
          <w:sz w:val="22"/>
          <w:szCs w:val="22"/>
        </w:rPr>
      </w:pPr>
      <w:r>
        <w:rPr>
          <w:w w:val="105"/>
        </w:rPr>
        <w:t>C</w:t>
      </w:r>
      <w:r w:rsidRPr="00EA2D0A">
        <w:rPr>
          <w:w w:val="105"/>
          <w:sz w:val="22"/>
          <w:szCs w:val="22"/>
        </w:rPr>
        <w:t>. Research Projects that require the Ga-68 automated radiolabeling system.</w:t>
      </w:r>
    </w:p>
    <w:p w14:paraId="168606A8" w14:textId="77777777" w:rsidR="00601245" w:rsidRPr="00EA2D0A" w:rsidRDefault="00EA2D0A">
      <w:pPr>
        <w:pStyle w:val="BodyText"/>
        <w:spacing w:before="178" w:line="252" w:lineRule="auto"/>
        <w:ind w:left="139" w:right="137"/>
        <w:jc w:val="both"/>
        <w:rPr>
          <w:sz w:val="22"/>
          <w:szCs w:val="22"/>
        </w:rPr>
      </w:pPr>
      <w:r w:rsidRPr="00EA2D0A">
        <w:rPr>
          <w:w w:val="105"/>
          <w:sz w:val="22"/>
          <w:szCs w:val="22"/>
        </w:rPr>
        <w:t xml:space="preserve">The proposed instrument will be housed in the new Institute for Innovation in Imaging cGMP PET production facility and utilized by researches from several departments within Massachusetts General Hospital. </w:t>
      </w:r>
      <w:r w:rsidRPr="00EA2D0A">
        <w:rPr>
          <w:b/>
          <w:w w:val="105"/>
          <w:sz w:val="22"/>
          <w:szCs w:val="22"/>
        </w:rPr>
        <w:t xml:space="preserve">Table 3 </w:t>
      </w:r>
      <w:r w:rsidRPr="00EA2D0A">
        <w:rPr>
          <w:w w:val="105"/>
          <w:sz w:val="22"/>
          <w:szCs w:val="22"/>
        </w:rPr>
        <w:t>(</w:t>
      </w:r>
      <w:r w:rsidRPr="00EA2D0A">
        <w:rPr>
          <w:b/>
          <w:w w:val="105"/>
          <w:sz w:val="22"/>
          <w:szCs w:val="22"/>
        </w:rPr>
        <w:t>Section D</w:t>
      </w:r>
      <w:r w:rsidRPr="00EA2D0A">
        <w:rPr>
          <w:w w:val="105"/>
          <w:sz w:val="22"/>
          <w:szCs w:val="22"/>
        </w:rPr>
        <w:t xml:space="preserve">) summarizes major users of the proposed gallium radiochemistry production system and their estimated usage time (in %). </w:t>
      </w:r>
      <w:r w:rsidRPr="00EA2D0A">
        <w:rPr>
          <w:color w:val="0432FF"/>
          <w:w w:val="105"/>
          <w:sz w:val="22"/>
          <w:szCs w:val="22"/>
        </w:rPr>
        <w:t>We list 20 projects all funded by NIH. Of these, 16 are R01 grants, 1 R33, 1 U01, 1 K23 and 1 R44. We expect that this usage will vary as each project develops and as new funds are acquired for new projects.</w:t>
      </w:r>
    </w:p>
    <w:p w14:paraId="2EBA28E2" w14:textId="77777777" w:rsidR="00601245" w:rsidRPr="00EA2D0A" w:rsidRDefault="00601245">
      <w:pPr>
        <w:pStyle w:val="BodyText"/>
        <w:spacing w:before="9"/>
        <w:rPr>
          <w:sz w:val="22"/>
          <w:szCs w:val="22"/>
        </w:rPr>
      </w:pPr>
    </w:p>
    <w:p w14:paraId="36BF3560" w14:textId="77777777" w:rsidR="00601245" w:rsidRPr="00EA2D0A" w:rsidRDefault="00EA2D0A">
      <w:pPr>
        <w:pStyle w:val="BodyText"/>
        <w:ind w:left="140"/>
        <w:rPr>
          <w:sz w:val="22"/>
          <w:szCs w:val="22"/>
        </w:rPr>
      </w:pPr>
      <w:r w:rsidRPr="00EA2D0A">
        <w:rPr>
          <w:color w:val="0432FF"/>
          <w:w w:val="105"/>
          <w:sz w:val="22"/>
          <w:szCs w:val="22"/>
        </w:rPr>
        <w:t>Projects use of the proposed instrument can be divided into four broad categories:</w:t>
      </w:r>
    </w:p>
    <w:p w14:paraId="606F8475" w14:textId="77777777" w:rsidR="00601245" w:rsidRPr="00EA2D0A" w:rsidRDefault="00EA2D0A">
      <w:pPr>
        <w:pStyle w:val="ListParagraph"/>
        <w:numPr>
          <w:ilvl w:val="0"/>
          <w:numId w:val="2"/>
        </w:numPr>
        <w:tabs>
          <w:tab w:val="left" w:pos="451"/>
        </w:tabs>
        <w:spacing w:before="8" w:line="252" w:lineRule="auto"/>
        <w:ind w:right="139" w:firstLine="0"/>
      </w:pPr>
      <w:r w:rsidRPr="00EA2D0A">
        <w:rPr>
          <w:color w:val="0432FF"/>
          <w:w w:val="105"/>
        </w:rPr>
        <w:t>Clinical Research: production of existing Ga-68 probes for use in human imaging experiments (Major Projects No.</w:t>
      </w:r>
      <w:r w:rsidRPr="00EA2D0A">
        <w:rPr>
          <w:color w:val="0432FF"/>
          <w:spacing w:val="1"/>
          <w:w w:val="105"/>
        </w:rPr>
        <w:t xml:space="preserve"> </w:t>
      </w:r>
      <w:r w:rsidRPr="00EA2D0A">
        <w:rPr>
          <w:color w:val="0432FF"/>
          <w:w w:val="105"/>
        </w:rPr>
        <w:t>1-6).</w:t>
      </w:r>
    </w:p>
    <w:p w14:paraId="31395B84" w14:textId="77777777" w:rsidR="00601245" w:rsidRPr="00EA2D0A" w:rsidRDefault="00EA2D0A">
      <w:pPr>
        <w:pStyle w:val="ListParagraph"/>
        <w:numPr>
          <w:ilvl w:val="0"/>
          <w:numId w:val="2"/>
        </w:numPr>
        <w:tabs>
          <w:tab w:val="left" w:pos="399"/>
        </w:tabs>
        <w:spacing w:before="2" w:line="247" w:lineRule="auto"/>
        <w:ind w:left="139" w:hanging="1"/>
      </w:pPr>
      <w:r w:rsidRPr="00EA2D0A">
        <w:rPr>
          <w:color w:val="0432FF"/>
          <w:w w:val="105"/>
        </w:rPr>
        <w:t>Development and translation of novel Ga-68 based imaging probes – including chemistry, preclinical studies and clinical translation (Major Projects No. 7-11 and Minor Projects No. 16,</w:t>
      </w:r>
      <w:r w:rsidRPr="00EA2D0A">
        <w:rPr>
          <w:color w:val="0432FF"/>
          <w:spacing w:val="-2"/>
          <w:w w:val="105"/>
        </w:rPr>
        <w:t xml:space="preserve"> </w:t>
      </w:r>
      <w:r w:rsidRPr="00EA2D0A">
        <w:rPr>
          <w:color w:val="0432FF"/>
          <w:w w:val="105"/>
        </w:rPr>
        <w:t>19).</w:t>
      </w:r>
    </w:p>
    <w:p w14:paraId="007896B9" w14:textId="77777777" w:rsidR="00601245" w:rsidRPr="00EA2D0A" w:rsidRDefault="00EA2D0A">
      <w:pPr>
        <w:pStyle w:val="ListParagraph"/>
        <w:numPr>
          <w:ilvl w:val="0"/>
          <w:numId w:val="2"/>
        </w:numPr>
        <w:tabs>
          <w:tab w:val="left" w:pos="398"/>
        </w:tabs>
        <w:spacing w:before="6" w:line="252" w:lineRule="auto"/>
        <w:ind w:left="139" w:right="139" w:firstLine="0"/>
      </w:pPr>
      <w:r w:rsidRPr="00EA2D0A">
        <w:rPr>
          <w:color w:val="0432FF"/>
          <w:w w:val="105"/>
        </w:rPr>
        <w:t>Availability</w:t>
      </w:r>
      <w:r w:rsidRPr="00EA2D0A">
        <w:rPr>
          <w:color w:val="0432FF"/>
          <w:spacing w:val="-4"/>
          <w:w w:val="105"/>
        </w:rPr>
        <w:t xml:space="preserve"> </w:t>
      </w:r>
      <w:r w:rsidRPr="00EA2D0A">
        <w:rPr>
          <w:color w:val="0432FF"/>
          <w:w w:val="105"/>
        </w:rPr>
        <w:t>of</w:t>
      </w:r>
      <w:r w:rsidRPr="00EA2D0A">
        <w:rPr>
          <w:color w:val="0432FF"/>
          <w:spacing w:val="-4"/>
          <w:w w:val="105"/>
        </w:rPr>
        <w:t xml:space="preserve"> </w:t>
      </w:r>
      <w:r w:rsidRPr="00EA2D0A">
        <w:rPr>
          <w:color w:val="0432FF"/>
          <w:w w:val="105"/>
        </w:rPr>
        <w:t>existing</w:t>
      </w:r>
      <w:r w:rsidRPr="00EA2D0A">
        <w:rPr>
          <w:color w:val="0432FF"/>
          <w:spacing w:val="-2"/>
          <w:w w:val="105"/>
        </w:rPr>
        <w:t xml:space="preserve"> </w:t>
      </w:r>
      <w:r w:rsidRPr="00EA2D0A">
        <w:rPr>
          <w:color w:val="0432FF"/>
          <w:w w:val="105"/>
        </w:rPr>
        <w:t>Ga-68</w:t>
      </w:r>
      <w:r w:rsidRPr="00EA2D0A">
        <w:rPr>
          <w:color w:val="0432FF"/>
          <w:spacing w:val="-4"/>
          <w:w w:val="105"/>
        </w:rPr>
        <w:t xml:space="preserve"> </w:t>
      </w:r>
      <w:r w:rsidRPr="00EA2D0A">
        <w:rPr>
          <w:color w:val="0432FF"/>
          <w:w w:val="105"/>
        </w:rPr>
        <w:t>based</w:t>
      </w:r>
      <w:r w:rsidRPr="00EA2D0A">
        <w:rPr>
          <w:color w:val="0432FF"/>
          <w:spacing w:val="-3"/>
          <w:w w:val="105"/>
        </w:rPr>
        <w:t xml:space="preserve"> </w:t>
      </w:r>
      <w:r w:rsidRPr="00EA2D0A">
        <w:rPr>
          <w:color w:val="0432FF"/>
          <w:w w:val="105"/>
        </w:rPr>
        <w:t>probes</w:t>
      </w:r>
      <w:r w:rsidRPr="00EA2D0A">
        <w:rPr>
          <w:color w:val="0432FF"/>
          <w:spacing w:val="-3"/>
          <w:w w:val="105"/>
        </w:rPr>
        <w:t xml:space="preserve"> </w:t>
      </w:r>
      <w:r w:rsidRPr="00EA2D0A">
        <w:rPr>
          <w:color w:val="0432FF"/>
          <w:w w:val="105"/>
        </w:rPr>
        <w:t>to</w:t>
      </w:r>
      <w:r w:rsidRPr="00EA2D0A">
        <w:rPr>
          <w:color w:val="0432FF"/>
          <w:spacing w:val="-4"/>
          <w:w w:val="105"/>
        </w:rPr>
        <w:t xml:space="preserve"> </w:t>
      </w:r>
      <w:r w:rsidRPr="00EA2D0A">
        <w:rPr>
          <w:color w:val="0432FF"/>
          <w:w w:val="105"/>
        </w:rPr>
        <w:t>enable</w:t>
      </w:r>
      <w:r w:rsidRPr="00EA2D0A">
        <w:rPr>
          <w:color w:val="0432FF"/>
          <w:spacing w:val="-3"/>
          <w:w w:val="105"/>
        </w:rPr>
        <w:t xml:space="preserve"> </w:t>
      </w:r>
      <w:r w:rsidRPr="00EA2D0A">
        <w:rPr>
          <w:color w:val="0432FF"/>
          <w:w w:val="105"/>
        </w:rPr>
        <w:t>and</w:t>
      </w:r>
      <w:r w:rsidRPr="00EA2D0A">
        <w:rPr>
          <w:color w:val="0432FF"/>
          <w:spacing w:val="-3"/>
          <w:w w:val="105"/>
        </w:rPr>
        <w:t xml:space="preserve"> </w:t>
      </w:r>
      <w:r w:rsidRPr="00EA2D0A">
        <w:rPr>
          <w:color w:val="0432FF"/>
          <w:w w:val="105"/>
        </w:rPr>
        <w:t>accelerate</w:t>
      </w:r>
      <w:r w:rsidRPr="00EA2D0A">
        <w:rPr>
          <w:color w:val="0432FF"/>
          <w:spacing w:val="-4"/>
          <w:w w:val="105"/>
        </w:rPr>
        <w:t xml:space="preserve"> </w:t>
      </w:r>
      <w:r w:rsidRPr="00EA2D0A">
        <w:rPr>
          <w:color w:val="0432FF"/>
          <w:w w:val="105"/>
        </w:rPr>
        <w:t>preclinical</w:t>
      </w:r>
      <w:r w:rsidRPr="00EA2D0A">
        <w:rPr>
          <w:color w:val="0432FF"/>
          <w:spacing w:val="-4"/>
          <w:w w:val="105"/>
        </w:rPr>
        <w:t xml:space="preserve"> </w:t>
      </w:r>
      <w:r w:rsidRPr="00EA2D0A">
        <w:rPr>
          <w:color w:val="0432FF"/>
          <w:w w:val="105"/>
        </w:rPr>
        <w:t>research</w:t>
      </w:r>
      <w:r w:rsidRPr="00EA2D0A">
        <w:rPr>
          <w:color w:val="0432FF"/>
          <w:spacing w:val="-3"/>
          <w:w w:val="105"/>
        </w:rPr>
        <w:t xml:space="preserve"> </w:t>
      </w:r>
      <w:r w:rsidRPr="00EA2D0A">
        <w:rPr>
          <w:color w:val="0432FF"/>
          <w:w w:val="105"/>
        </w:rPr>
        <w:t>(Major</w:t>
      </w:r>
      <w:r w:rsidRPr="00EA2D0A">
        <w:rPr>
          <w:color w:val="0432FF"/>
          <w:spacing w:val="-4"/>
          <w:w w:val="105"/>
        </w:rPr>
        <w:t xml:space="preserve"> </w:t>
      </w:r>
      <w:r w:rsidRPr="00EA2D0A">
        <w:rPr>
          <w:color w:val="0432FF"/>
          <w:w w:val="105"/>
        </w:rPr>
        <w:t>Projects</w:t>
      </w:r>
      <w:r w:rsidRPr="00EA2D0A">
        <w:rPr>
          <w:color w:val="0432FF"/>
          <w:spacing w:val="-4"/>
          <w:w w:val="105"/>
        </w:rPr>
        <w:t xml:space="preserve"> </w:t>
      </w:r>
      <w:r w:rsidRPr="00EA2D0A">
        <w:rPr>
          <w:color w:val="0432FF"/>
          <w:w w:val="105"/>
        </w:rPr>
        <w:t>No. 12-15).</w:t>
      </w:r>
    </w:p>
    <w:p w14:paraId="2D3ADA6D" w14:textId="77777777" w:rsidR="00601245" w:rsidRPr="00EA2D0A" w:rsidRDefault="00EA2D0A">
      <w:pPr>
        <w:pStyle w:val="ListParagraph"/>
        <w:numPr>
          <w:ilvl w:val="0"/>
          <w:numId w:val="2"/>
        </w:numPr>
        <w:tabs>
          <w:tab w:val="left" w:pos="396"/>
        </w:tabs>
        <w:spacing w:before="2"/>
        <w:ind w:left="395" w:right="0" w:hanging="257"/>
      </w:pPr>
      <w:r w:rsidRPr="00EA2D0A">
        <w:rPr>
          <w:color w:val="0432FF"/>
          <w:w w:val="105"/>
        </w:rPr>
        <w:t>Acquisition of Ga-68 isotope for other research. (Minor Project No. 17, 18, 20).</w:t>
      </w:r>
    </w:p>
    <w:p w14:paraId="45DA4950" w14:textId="77777777" w:rsidR="00601245" w:rsidRPr="00EA2D0A" w:rsidRDefault="00601245">
      <w:pPr>
        <w:pStyle w:val="BodyText"/>
        <w:spacing w:before="9"/>
        <w:rPr>
          <w:sz w:val="22"/>
          <w:szCs w:val="22"/>
        </w:rPr>
      </w:pPr>
    </w:p>
    <w:p w14:paraId="623B4C81" w14:textId="77777777" w:rsidR="00601245" w:rsidRPr="00EA2D0A" w:rsidRDefault="00EA2D0A">
      <w:pPr>
        <w:pStyle w:val="BodyText"/>
        <w:spacing w:before="1" w:line="252" w:lineRule="auto"/>
        <w:ind w:left="139" w:right="139"/>
        <w:jc w:val="both"/>
        <w:rPr>
          <w:b/>
          <w:sz w:val="22"/>
          <w:szCs w:val="22"/>
        </w:rPr>
      </w:pPr>
      <w:r w:rsidRPr="00EA2D0A">
        <w:rPr>
          <w:w w:val="105"/>
          <w:sz w:val="22"/>
          <w:szCs w:val="22"/>
        </w:rPr>
        <w:t xml:space="preserve">Many of the projects that we have included in this proposal plan to develop new imaging tracers and tools that can significantly impact our understanding of both normal and abnormal pathologies, opening new pathways for treatment of such devastating conditions that including Alzheimer’s disease, stroke, diabetes and cancer. Finally, as a teaching institution, we believe that it is of paramount importance to acquaint the next generation of imaging scientists with the latest developments in clinically focused PET imaging and therapy development by providing access to systems that, in combination with other imaging modalities, will enhance teaching potential. The projects below are presented in the order of </w:t>
      </w:r>
      <w:r w:rsidRPr="00EA2D0A">
        <w:rPr>
          <w:b/>
          <w:w w:val="105"/>
          <w:sz w:val="22"/>
          <w:szCs w:val="22"/>
        </w:rPr>
        <w:t>Table</w:t>
      </w:r>
      <w:r w:rsidRPr="00EA2D0A">
        <w:rPr>
          <w:b/>
          <w:spacing w:val="5"/>
          <w:w w:val="105"/>
          <w:sz w:val="22"/>
          <w:szCs w:val="22"/>
        </w:rPr>
        <w:t xml:space="preserve"> </w:t>
      </w:r>
      <w:r w:rsidRPr="00EA2D0A">
        <w:rPr>
          <w:b/>
          <w:w w:val="105"/>
          <w:sz w:val="22"/>
          <w:szCs w:val="22"/>
        </w:rPr>
        <w:t>3.</w:t>
      </w:r>
    </w:p>
    <w:p w14:paraId="17F2C922" w14:textId="77777777" w:rsidR="00601245" w:rsidRPr="00EA2D0A" w:rsidRDefault="00601245">
      <w:pPr>
        <w:pStyle w:val="BodyText"/>
        <w:spacing w:before="9"/>
        <w:rPr>
          <w:b/>
          <w:sz w:val="22"/>
          <w:szCs w:val="22"/>
        </w:rPr>
      </w:pPr>
    </w:p>
    <w:p w14:paraId="581ACFC7" w14:textId="77777777" w:rsidR="00601245" w:rsidRPr="00EA2D0A" w:rsidRDefault="00EA2D0A">
      <w:pPr>
        <w:pStyle w:val="Heading1"/>
        <w:rPr>
          <w:sz w:val="22"/>
          <w:szCs w:val="22"/>
        </w:rPr>
      </w:pPr>
      <w:r w:rsidRPr="00EA2D0A">
        <w:rPr>
          <w:w w:val="105"/>
          <w:sz w:val="22"/>
          <w:szCs w:val="22"/>
        </w:rPr>
        <w:t>MAJOR RESERCH PROJECTS</w:t>
      </w:r>
    </w:p>
    <w:p w14:paraId="17A1E880" w14:textId="77777777" w:rsidR="00601245" w:rsidRPr="00EA2D0A" w:rsidRDefault="002A0C85">
      <w:pPr>
        <w:pStyle w:val="BodyText"/>
        <w:rPr>
          <w:b/>
          <w:sz w:val="22"/>
          <w:szCs w:val="22"/>
        </w:rPr>
      </w:pPr>
      <w:r>
        <w:rPr>
          <w:sz w:val="22"/>
          <w:szCs w:val="22"/>
        </w:rPr>
        <w:pict w14:anchorId="64603671">
          <v:group id="_x0000_s1026" style="position:absolute;margin-left:34.55pt;margin-top:12.9pt;width:542.9pt;height:15.6pt;z-index:-251657216;mso-wrap-distance-left:0;mso-wrap-distance-right:0;mso-position-horizontal-relative:page" coordorigin="691,258" coordsize="10858,312">
            <v:rect id="_x0000_s1029" style="position:absolute;left:691;top:267;width:10858;height:293" fillcolor="#d9d9d9" stroked="f"/>
            <v:shape id="_x0000_s1028" style="position:absolute;left:691;top:257;width:10858;height:312" coordorigin="691,258" coordsize="10858,312" o:spt="100" adj="0,,0" path="m11549,560l691,560r,10l11549,570r,-10xm11549,258l691,258r,9l11549,267r,-9xe" fillcolor="black" stroked="f">
              <v:stroke joinstyle="round"/>
              <v:formulas/>
              <v:path arrowok="t" o:connecttype="segments"/>
            </v:shape>
            <v:shapetype id="_x0000_t202" coordsize="21600,21600" o:spt="202" path="m,l,21600r21600,l21600,xe">
              <v:stroke joinstyle="miter"/>
              <v:path gradientshapeok="t" o:connecttype="rect"/>
            </v:shapetype>
            <v:shape id="_x0000_s1027" type="#_x0000_t202" style="position:absolute;left:691;top:267;width:10858;height:293" filled="f" stroked="f">
              <v:textbox inset="0,0,0,0">
                <w:txbxContent>
                  <w:p w14:paraId="5A157DE4" w14:textId="77777777" w:rsidR="00601245" w:rsidRDefault="00EA2D0A">
                    <w:pPr>
                      <w:spacing w:before="28"/>
                      <w:ind w:left="28"/>
                      <w:rPr>
                        <w:sz w:val="21"/>
                      </w:rPr>
                    </w:pPr>
                    <w:r>
                      <w:rPr>
                        <w:b/>
                        <w:w w:val="105"/>
                        <w:sz w:val="21"/>
                      </w:rPr>
                      <w:t xml:space="preserve">Project 01: </w:t>
                    </w:r>
                    <w:r>
                      <w:rPr>
                        <w:w w:val="105"/>
                        <w:sz w:val="21"/>
                      </w:rPr>
                      <w:t xml:space="preserve">Multimodal MR-PET Machine Learning Approaches </w:t>
                    </w:r>
                    <w:proofErr w:type="gramStart"/>
                    <w:r>
                      <w:rPr>
                        <w:w w:val="105"/>
                        <w:sz w:val="21"/>
                      </w:rPr>
                      <w:t>For</w:t>
                    </w:r>
                    <w:proofErr w:type="gramEnd"/>
                    <w:r>
                      <w:rPr>
                        <w:w w:val="105"/>
                        <w:sz w:val="21"/>
                      </w:rPr>
                      <w:t xml:space="preserve"> Primary Prostate Cancer Characterization</w:t>
                    </w:r>
                  </w:p>
                </w:txbxContent>
              </v:textbox>
            </v:shape>
            <w10:wrap type="topAndBottom" anchorx="page"/>
          </v:group>
        </w:pict>
      </w:r>
    </w:p>
    <w:p w14:paraId="39613CDC" w14:textId="77777777" w:rsidR="00601245" w:rsidRPr="00EA2D0A" w:rsidRDefault="00EA2D0A">
      <w:pPr>
        <w:spacing w:line="217" w:lineRule="exact"/>
        <w:ind w:left="140"/>
      </w:pPr>
      <w:r w:rsidRPr="00EA2D0A">
        <w:rPr>
          <w:b/>
          <w:w w:val="105"/>
        </w:rPr>
        <w:t>PHS Grant Number</w:t>
      </w:r>
      <w:r w:rsidRPr="00EA2D0A">
        <w:rPr>
          <w:w w:val="105"/>
        </w:rPr>
        <w:t>: R01CA218187 (02/21/2018-01/31/2023</w:t>
      </w:r>
    </w:p>
    <w:p w14:paraId="62688CE6" w14:textId="77777777" w:rsidR="00601245" w:rsidRPr="00EA2D0A" w:rsidRDefault="00EA2D0A">
      <w:pPr>
        <w:spacing w:before="13"/>
        <w:ind w:left="139"/>
      </w:pPr>
      <w:r w:rsidRPr="00EA2D0A">
        <w:rPr>
          <w:b/>
          <w:w w:val="105"/>
        </w:rPr>
        <w:t>Investigator</w:t>
      </w:r>
      <w:r w:rsidRPr="00EA2D0A">
        <w:rPr>
          <w:w w:val="105"/>
        </w:rPr>
        <w:t>: Ciprian Catana, MD, PhD.</w:t>
      </w:r>
    </w:p>
    <w:p w14:paraId="5FF2509C" w14:textId="77777777" w:rsidR="00601245" w:rsidRPr="00EA2D0A" w:rsidRDefault="00EA2D0A">
      <w:pPr>
        <w:spacing w:before="13"/>
        <w:ind w:left="139"/>
      </w:pPr>
      <w:r w:rsidRPr="00EA2D0A">
        <w:rPr>
          <w:b/>
          <w:color w:val="0000FF"/>
          <w:w w:val="105"/>
        </w:rPr>
        <w:t xml:space="preserve">Project Category: 1 </w:t>
      </w:r>
      <w:r w:rsidRPr="00EA2D0A">
        <w:rPr>
          <w:color w:val="0000FF"/>
          <w:w w:val="105"/>
        </w:rPr>
        <w:t>- Clinical production for use in human imaging experiments.</w:t>
      </w:r>
    </w:p>
    <w:p w14:paraId="6E0B5094" w14:textId="77777777" w:rsidR="00601245" w:rsidRPr="00EA2D0A" w:rsidRDefault="00601245">
      <w:pPr>
        <w:pStyle w:val="BodyText"/>
        <w:spacing w:before="9"/>
        <w:rPr>
          <w:sz w:val="22"/>
          <w:szCs w:val="22"/>
        </w:rPr>
      </w:pPr>
    </w:p>
    <w:p w14:paraId="431F2AC9" w14:textId="77777777" w:rsidR="00601245" w:rsidRPr="00EA2D0A" w:rsidRDefault="00EA2D0A">
      <w:pPr>
        <w:pStyle w:val="ListParagraph"/>
        <w:numPr>
          <w:ilvl w:val="0"/>
          <w:numId w:val="1"/>
        </w:numPr>
        <w:tabs>
          <w:tab w:val="left" w:pos="485"/>
        </w:tabs>
        <w:spacing w:line="252" w:lineRule="auto"/>
        <w:ind w:firstLine="0"/>
        <w:jc w:val="both"/>
      </w:pPr>
      <w:r w:rsidRPr="00EA2D0A">
        <w:rPr>
          <w:b/>
          <w:w w:val="105"/>
        </w:rPr>
        <w:t xml:space="preserve">Goals. </w:t>
      </w:r>
      <w:r w:rsidRPr="00EA2D0A">
        <w:rPr>
          <w:w w:val="105"/>
        </w:rPr>
        <w:t>Prostate cancer (</w:t>
      </w:r>
      <w:proofErr w:type="spellStart"/>
      <w:r w:rsidRPr="00EA2D0A">
        <w:rPr>
          <w:w w:val="105"/>
        </w:rPr>
        <w:t>PCa</w:t>
      </w:r>
      <w:proofErr w:type="spellEnd"/>
      <w:r w:rsidRPr="00EA2D0A">
        <w:rPr>
          <w:w w:val="105"/>
        </w:rPr>
        <w:t>) is the most diagnosed form of non-cutaneous cancer in US men. The selection of patients who require immediate treatment from those suitable for active surveillance currently relies on non-specific and inaccurate measurements. A method that allows clinicians to more confidently discriminate clinically relevant from non-life-threatening tumors is needed to improve patient management. We hypothesize that attenuation maps as accurate as those obtained using a 511 keV transmission source – the true gold standard for PET AC – will be obtained. We hypothesize that the diagnostic accuracy of this approach will be superior to that offered by the stand-alone modalities. We hypothesize that machine learning approaches will achieve a higher predictive accuracy when applied to data acquired simultaneously than sequentially.</w:t>
      </w:r>
    </w:p>
    <w:p w14:paraId="1DB945F3" w14:textId="77777777" w:rsidR="00601245" w:rsidRPr="00EA2D0A" w:rsidRDefault="00601245">
      <w:pPr>
        <w:pStyle w:val="BodyText"/>
        <w:spacing w:before="6"/>
        <w:rPr>
          <w:sz w:val="22"/>
          <w:szCs w:val="22"/>
        </w:rPr>
      </w:pPr>
    </w:p>
    <w:p w14:paraId="67BD4874" w14:textId="77777777" w:rsidR="00601245" w:rsidRPr="00EA2D0A" w:rsidRDefault="00EA2D0A">
      <w:pPr>
        <w:pStyle w:val="BodyText"/>
        <w:spacing w:before="1" w:line="249" w:lineRule="auto"/>
        <w:ind w:left="138" w:right="937"/>
        <w:rPr>
          <w:sz w:val="22"/>
          <w:szCs w:val="22"/>
        </w:rPr>
      </w:pPr>
      <w:r w:rsidRPr="00EA2D0A">
        <w:rPr>
          <w:b/>
          <w:w w:val="105"/>
          <w:sz w:val="22"/>
          <w:szCs w:val="22"/>
        </w:rPr>
        <w:t xml:space="preserve">Aim 1. </w:t>
      </w:r>
      <w:r w:rsidRPr="00EA2D0A">
        <w:rPr>
          <w:w w:val="105"/>
          <w:sz w:val="22"/>
          <w:szCs w:val="22"/>
        </w:rPr>
        <w:t xml:space="preserve">Develop and validate an MR-based approach for obtaining quantitatively accurate PET data. </w:t>
      </w:r>
      <w:r w:rsidRPr="00EA2D0A">
        <w:rPr>
          <w:b/>
          <w:w w:val="105"/>
          <w:sz w:val="22"/>
          <w:szCs w:val="22"/>
        </w:rPr>
        <w:t xml:space="preserve">Aim 2. </w:t>
      </w:r>
      <w:r w:rsidRPr="00EA2D0A">
        <w:rPr>
          <w:w w:val="105"/>
          <w:sz w:val="22"/>
          <w:szCs w:val="22"/>
        </w:rPr>
        <w:t xml:space="preserve">Identify the multimodal radiomics model that most accurately predicts </w:t>
      </w:r>
      <w:proofErr w:type="spellStart"/>
      <w:r w:rsidRPr="00EA2D0A">
        <w:rPr>
          <w:w w:val="105"/>
          <w:sz w:val="22"/>
          <w:szCs w:val="22"/>
        </w:rPr>
        <w:t>PCa</w:t>
      </w:r>
      <w:proofErr w:type="spellEnd"/>
      <w:r w:rsidRPr="00EA2D0A">
        <w:rPr>
          <w:w w:val="105"/>
          <w:sz w:val="22"/>
          <w:szCs w:val="22"/>
        </w:rPr>
        <w:t xml:space="preserve"> aggressiveness. </w:t>
      </w:r>
      <w:r w:rsidRPr="00EA2D0A">
        <w:rPr>
          <w:b/>
          <w:w w:val="105"/>
          <w:sz w:val="22"/>
          <w:szCs w:val="22"/>
        </w:rPr>
        <w:t xml:space="preserve">Aim 3. </w:t>
      </w:r>
      <w:r w:rsidRPr="00EA2D0A">
        <w:rPr>
          <w:w w:val="105"/>
          <w:sz w:val="22"/>
          <w:szCs w:val="22"/>
        </w:rPr>
        <w:t xml:space="preserve">Evaluate radiomics and deep learning approaches for predicting </w:t>
      </w:r>
      <w:proofErr w:type="spellStart"/>
      <w:r w:rsidRPr="00EA2D0A">
        <w:rPr>
          <w:w w:val="105"/>
          <w:sz w:val="22"/>
          <w:szCs w:val="22"/>
        </w:rPr>
        <w:t>pPCa</w:t>
      </w:r>
      <w:proofErr w:type="spellEnd"/>
      <w:r w:rsidRPr="00EA2D0A">
        <w:rPr>
          <w:w w:val="105"/>
          <w:sz w:val="22"/>
          <w:szCs w:val="22"/>
        </w:rPr>
        <w:t xml:space="preserve"> aggressiveness.</w:t>
      </w:r>
    </w:p>
    <w:p w14:paraId="6391676D" w14:textId="77777777" w:rsidR="00601245" w:rsidRPr="00EA2D0A" w:rsidRDefault="00601245">
      <w:pPr>
        <w:pStyle w:val="BodyText"/>
        <w:spacing w:before="6"/>
        <w:rPr>
          <w:sz w:val="22"/>
          <w:szCs w:val="22"/>
        </w:rPr>
      </w:pPr>
    </w:p>
    <w:p w14:paraId="5C399FE8" w14:textId="77777777" w:rsidR="00EA2D0A" w:rsidRPr="00EA2D0A" w:rsidRDefault="00EA2D0A">
      <w:pPr>
        <w:pStyle w:val="ListParagraph"/>
        <w:numPr>
          <w:ilvl w:val="0"/>
          <w:numId w:val="1"/>
        </w:numPr>
        <w:tabs>
          <w:tab w:val="left" w:pos="472"/>
        </w:tabs>
        <w:spacing w:line="252" w:lineRule="auto"/>
        <w:ind w:right="138" w:firstLine="0"/>
        <w:jc w:val="both"/>
      </w:pPr>
      <w:r w:rsidRPr="00EA2D0A">
        <w:rPr>
          <w:b/>
          <w:w w:val="105"/>
        </w:rPr>
        <w:t xml:space="preserve">Background and Significance. </w:t>
      </w:r>
      <w:r w:rsidRPr="00EA2D0A">
        <w:rPr>
          <w:w w:val="105"/>
        </w:rPr>
        <w:t>Multiparametric magnetic resonance imaging (</w:t>
      </w:r>
      <w:proofErr w:type="spellStart"/>
      <w:r w:rsidRPr="00EA2D0A">
        <w:rPr>
          <w:w w:val="105"/>
        </w:rPr>
        <w:t>mpMRI</w:t>
      </w:r>
      <w:proofErr w:type="spellEnd"/>
      <w:r w:rsidRPr="00EA2D0A">
        <w:rPr>
          <w:w w:val="105"/>
        </w:rPr>
        <w:t xml:space="preserve">) is the preferred non-invasive imaging modality for characterizing primary </w:t>
      </w:r>
      <w:proofErr w:type="spellStart"/>
      <w:r w:rsidRPr="00EA2D0A">
        <w:rPr>
          <w:w w:val="105"/>
        </w:rPr>
        <w:t>PCa</w:t>
      </w:r>
      <w:proofErr w:type="spellEnd"/>
      <w:r w:rsidRPr="00EA2D0A">
        <w:rPr>
          <w:w w:val="105"/>
        </w:rPr>
        <w:t xml:space="preserve">. However, its accuracy for detecting clinically significant </w:t>
      </w:r>
      <w:proofErr w:type="spellStart"/>
      <w:r w:rsidRPr="00EA2D0A">
        <w:rPr>
          <w:w w:val="105"/>
        </w:rPr>
        <w:t>PCa</w:t>
      </w:r>
      <w:proofErr w:type="spellEnd"/>
      <w:r w:rsidRPr="00EA2D0A">
        <w:rPr>
          <w:w w:val="105"/>
        </w:rPr>
        <w:t xml:space="preserve"> is variable. We propose to address this limitation by combining </w:t>
      </w:r>
      <w:proofErr w:type="spellStart"/>
      <w:r w:rsidRPr="00EA2D0A">
        <w:rPr>
          <w:w w:val="105"/>
        </w:rPr>
        <w:t>mpMRI</w:t>
      </w:r>
      <w:proofErr w:type="spellEnd"/>
      <w:r w:rsidRPr="00EA2D0A">
        <w:rPr>
          <w:w w:val="105"/>
        </w:rPr>
        <w:t xml:space="preserve"> with positron emission tomography (PET) with a </w:t>
      </w:r>
      <w:proofErr w:type="spellStart"/>
      <w:r w:rsidRPr="00EA2D0A">
        <w:rPr>
          <w:w w:val="105"/>
        </w:rPr>
        <w:t>PCa</w:t>
      </w:r>
      <w:proofErr w:type="spellEnd"/>
      <w:r w:rsidRPr="00EA2D0A">
        <w:rPr>
          <w:w w:val="105"/>
        </w:rPr>
        <w:t xml:space="preserve">-specific radiotracer and using advanced multimodal machine learning models (i.e. radiomics and deep learning) to characterize tumor aggressiveness based </w:t>
      </w:r>
      <w:r w:rsidRPr="00EA2D0A">
        <w:rPr>
          <w:w w:val="105"/>
        </w:rPr>
        <w:lastRenderedPageBreak/>
        <w:t xml:space="preserve">on the imaging data. </w:t>
      </w:r>
    </w:p>
    <w:p w14:paraId="29B862EC" w14:textId="77777777" w:rsidR="00EA2D0A" w:rsidRPr="00EA2D0A" w:rsidRDefault="00EA2D0A" w:rsidP="00EA2D0A">
      <w:pPr>
        <w:pStyle w:val="ListParagraph"/>
        <w:tabs>
          <w:tab w:val="left" w:pos="472"/>
        </w:tabs>
        <w:spacing w:line="252" w:lineRule="auto"/>
        <w:ind w:left="138" w:right="138"/>
      </w:pPr>
    </w:p>
    <w:p w14:paraId="21B7B0D5" w14:textId="77777777" w:rsidR="00EA2D0A" w:rsidRPr="00EA2D0A" w:rsidRDefault="00EA2D0A" w:rsidP="00EA2D0A">
      <w:pPr>
        <w:pStyle w:val="ListParagraph"/>
        <w:tabs>
          <w:tab w:val="left" w:pos="472"/>
        </w:tabs>
        <w:spacing w:line="252" w:lineRule="auto"/>
        <w:ind w:left="138" w:right="138"/>
      </w:pPr>
    </w:p>
    <w:p w14:paraId="1F079E98" w14:textId="77777777" w:rsidR="00EA2D0A" w:rsidRPr="00EA2D0A" w:rsidRDefault="00EA2D0A" w:rsidP="00EA2D0A">
      <w:pPr>
        <w:tabs>
          <w:tab w:val="left" w:pos="472"/>
        </w:tabs>
        <w:spacing w:line="252" w:lineRule="auto"/>
        <w:ind w:left="138" w:right="138"/>
      </w:pPr>
    </w:p>
    <w:p w14:paraId="025BDE13" w14:textId="77777777" w:rsidR="00EA2D0A" w:rsidRDefault="00EA2D0A" w:rsidP="00EA2D0A">
      <w:pPr>
        <w:pStyle w:val="ListParagraph"/>
        <w:tabs>
          <w:tab w:val="left" w:pos="472"/>
        </w:tabs>
        <w:spacing w:line="252" w:lineRule="auto"/>
        <w:ind w:left="138" w:right="138"/>
      </w:pPr>
    </w:p>
    <w:p w14:paraId="196342DD" w14:textId="77777777" w:rsidR="00EA2D0A" w:rsidRPr="00EA2D0A" w:rsidRDefault="00EA2D0A" w:rsidP="00EA2D0A">
      <w:pPr>
        <w:pStyle w:val="ListParagraph"/>
        <w:tabs>
          <w:tab w:val="left" w:pos="472"/>
        </w:tabs>
        <w:spacing w:line="252" w:lineRule="auto"/>
        <w:ind w:left="138" w:right="138"/>
      </w:pPr>
    </w:p>
    <w:p w14:paraId="1008E877" w14:textId="77777777" w:rsidR="00EA2D0A" w:rsidRPr="00EA2D0A" w:rsidRDefault="00EA2D0A" w:rsidP="00EA2D0A">
      <w:pPr>
        <w:pStyle w:val="BodyText"/>
        <w:spacing w:before="84" w:line="249" w:lineRule="auto"/>
        <w:ind w:left="140" w:right="137"/>
        <w:jc w:val="both"/>
        <w:rPr>
          <w:sz w:val="22"/>
          <w:szCs w:val="22"/>
        </w:rPr>
      </w:pPr>
      <w:r w:rsidRPr="00EA2D0A">
        <w:rPr>
          <w:w w:val="105"/>
        </w:rPr>
        <w:t>Recently, scanners</w:t>
      </w:r>
      <w:r w:rsidRPr="00EA2D0A">
        <w:rPr>
          <w:spacing w:val="-5"/>
          <w:w w:val="105"/>
        </w:rPr>
        <w:t xml:space="preserve"> </w:t>
      </w:r>
      <w:r w:rsidRPr="00EA2D0A">
        <w:rPr>
          <w:w w:val="105"/>
        </w:rPr>
        <w:t>capable</w:t>
      </w:r>
      <w:r w:rsidRPr="00EA2D0A">
        <w:rPr>
          <w:spacing w:val="-3"/>
          <w:w w:val="105"/>
        </w:rPr>
        <w:t xml:space="preserve"> </w:t>
      </w:r>
      <w:r w:rsidRPr="00EA2D0A">
        <w:rPr>
          <w:w w:val="105"/>
        </w:rPr>
        <w:t>of</w:t>
      </w:r>
      <w:r w:rsidRPr="00EA2D0A">
        <w:rPr>
          <w:spacing w:val="-4"/>
          <w:w w:val="105"/>
        </w:rPr>
        <w:t xml:space="preserve"> </w:t>
      </w:r>
      <w:r w:rsidRPr="00EA2D0A">
        <w:rPr>
          <w:w w:val="105"/>
        </w:rPr>
        <w:t>simultaneous</w:t>
      </w:r>
      <w:r w:rsidRPr="00EA2D0A">
        <w:rPr>
          <w:spacing w:val="-4"/>
          <w:w w:val="105"/>
        </w:rPr>
        <w:t xml:space="preserve"> </w:t>
      </w:r>
      <w:r w:rsidRPr="00EA2D0A">
        <w:rPr>
          <w:w w:val="105"/>
        </w:rPr>
        <w:t>PET</w:t>
      </w:r>
      <w:r w:rsidRPr="00EA2D0A">
        <w:rPr>
          <w:spacing w:val="-4"/>
          <w:w w:val="105"/>
        </w:rPr>
        <w:t xml:space="preserve"> </w:t>
      </w:r>
      <w:r w:rsidRPr="00EA2D0A">
        <w:rPr>
          <w:w w:val="105"/>
        </w:rPr>
        <w:t>and</w:t>
      </w:r>
      <w:r w:rsidRPr="00EA2D0A">
        <w:rPr>
          <w:spacing w:val="-3"/>
          <w:w w:val="105"/>
        </w:rPr>
        <w:t xml:space="preserve"> </w:t>
      </w:r>
      <w:r w:rsidRPr="00EA2D0A">
        <w:rPr>
          <w:w w:val="105"/>
        </w:rPr>
        <w:t>MR</w:t>
      </w:r>
      <w:r w:rsidRPr="00EA2D0A">
        <w:rPr>
          <w:spacing w:val="-3"/>
          <w:w w:val="105"/>
        </w:rPr>
        <w:t xml:space="preserve"> </w:t>
      </w:r>
      <w:r w:rsidRPr="00EA2D0A">
        <w:rPr>
          <w:w w:val="105"/>
        </w:rPr>
        <w:t>data</w:t>
      </w:r>
      <w:r w:rsidRPr="00EA2D0A">
        <w:rPr>
          <w:spacing w:val="-3"/>
          <w:w w:val="105"/>
        </w:rPr>
        <w:t xml:space="preserve"> </w:t>
      </w:r>
      <w:r w:rsidRPr="00EA2D0A">
        <w:rPr>
          <w:w w:val="105"/>
        </w:rPr>
        <w:t>acquisition</w:t>
      </w:r>
      <w:r w:rsidRPr="00EA2D0A">
        <w:rPr>
          <w:spacing w:val="-4"/>
          <w:w w:val="105"/>
        </w:rPr>
        <w:t xml:space="preserve"> </w:t>
      </w:r>
      <w:r w:rsidRPr="00EA2D0A">
        <w:rPr>
          <w:w w:val="105"/>
        </w:rPr>
        <w:t>in</w:t>
      </w:r>
      <w:r w:rsidRPr="00EA2D0A">
        <w:rPr>
          <w:spacing w:val="-3"/>
          <w:w w:val="105"/>
        </w:rPr>
        <w:t xml:space="preserve"> </w:t>
      </w:r>
      <w:r w:rsidRPr="00EA2D0A">
        <w:rPr>
          <w:w w:val="105"/>
        </w:rPr>
        <w:t>human</w:t>
      </w:r>
      <w:r w:rsidRPr="00EA2D0A">
        <w:rPr>
          <w:spacing w:val="-3"/>
          <w:w w:val="105"/>
        </w:rPr>
        <w:t xml:space="preserve"> </w:t>
      </w:r>
      <w:r w:rsidRPr="00EA2D0A">
        <w:rPr>
          <w:w w:val="105"/>
        </w:rPr>
        <w:t>subjects</w:t>
      </w:r>
      <w:r w:rsidRPr="00EA2D0A">
        <w:rPr>
          <w:spacing w:val="-4"/>
          <w:w w:val="105"/>
        </w:rPr>
        <w:t xml:space="preserve"> </w:t>
      </w:r>
      <w:r w:rsidRPr="00EA2D0A">
        <w:rPr>
          <w:w w:val="105"/>
        </w:rPr>
        <w:t>have</w:t>
      </w:r>
      <w:r w:rsidRPr="00EA2D0A">
        <w:rPr>
          <w:spacing w:val="-4"/>
          <w:w w:val="105"/>
        </w:rPr>
        <w:t xml:space="preserve"> </w:t>
      </w:r>
      <w:r w:rsidRPr="00EA2D0A">
        <w:rPr>
          <w:w w:val="105"/>
        </w:rPr>
        <w:t>become</w:t>
      </w:r>
      <w:r w:rsidRPr="00EA2D0A">
        <w:rPr>
          <w:spacing w:val="-3"/>
          <w:w w:val="105"/>
        </w:rPr>
        <w:t xml:space="preserve"> </w:t>
      </w:r>
      <w:r w:rsidRPr="00EA2D0A">
        <w:rPr>
          <w:w w:val="105"/>
        </w:rPr>
        <w:t>commercially available. An integrated MR-PET scanner is the ideal tool for comparing MR and PET derived image features to identify those that provide complementary information and build a hybrid PET-</w:t>
      </w:r>
      <w:proofErr w:type="spellStart"/>
      <w:r w:rsidRPr="00EA2D0A">
        <w:rPr>
          <w:w w:val="105"/>
        </w:rPr>
        <w:t>mpMRI</w:t>
      </w:r>
      <w:proofErr w:type="spellEnd"/>
      <w:r w:rsidRPr="00EA2D0A">
        <w:rPr>
          <w:w w:val="105"/>
        </w:rPr>
        <w:t xml:space="preserve"> model that most accurately identifies clinically significant tumors. While this novel technology allows the acquisition of perfectly </w:t>
      </w:r>
      <w:proofErr w:type="spellStart"/>
      <w:r w:rsidRPr="00EA2D0A">
        <w:rPr>
          <w:w w:val="105"/>
        </w:rPr>
        <w:t>coregistered</w:t>
      </w:r>
      <w:proofErr w:type="spellEnd"/>
      <w:r w:rsidRPr="00EA2D0A">
        <w:rPr>
          <w:spacing w:val="35"/>
          <w:w w:val="105"/>
        </w:rPr>
        <w:t xml:space="preserve"> </w:t>
      </w:r>
      <w:r w:rsidRPr="00EA2D0A">
        <w:rPr>
          <w:w w:val="105"/>
        </w:rPr>
        <w:t>complementary</w:t>
      </w:r>
      <w:r w:rsidRPr="00EA2D0A">
        <w:rPr>
          <w:spacing w:val="36"/>
          <w:w w:val="105"/>
        </w:rPr>
        <w:t xml:space="preserve"> </w:t>
      </w:r>
      <w:r w:rsidRPr="00EA2D0A">
        <w:rPr>
          <w:w w:val="105"/>
        </w:rPr>
        <w:t>anatomical,</w:t>
      </w:r>
      <w:r w:rsidRPr="00EA2D0A">
        <w:rPr>
          <w:spacing w:val="35"/>
          <w:w w:val="105"/>
        </w:rPr>
        <w:t xml:space="preserve"> </w:t>
      </w:r>
      <w:r w:rsidRPr="00EA2D0A">
        <w:rPr>
          <w:w w:val="105"/>
        </w:rPr>
        <w:t>functional</w:t>
      </w:r>
      <w:r w:rsidRPr="00EA2D0A">
        <w:rPr>
          <w:spacing w:val="34"/>
          <w:w w:val="105"/>
        </w:rPr>
        <w:t xml:space="preserve"> </w:t>
      </w:r>
      <w:r w:rsidRPr="00EA2D0A">
        <w:rPr>
          <w:w w:val="105"/>
        </w:rPr>
        <w:t>and</w:t>
      </w:r>
      <w:r w:rsidRPr="00EA2D0A">
        <w:rPr>
          <w:spacing w:val="36"/>
          <w:w w:val="105"/>
        </w:rPr>
        <w:t xml:space="preserve"> </w:t>
      </w:r>
      <w:r w:rsidRPr="00EA2D0A">
        <w:rPr>
          <w:w w:val="105"/>
        </w:rPr>
        <w:t>metabolic</w:t>
      </w:r>
      <w:r w:rsidRPr="00EA2D0A">
        <w:rPr>
          <w:spacing w:val="36"/>
          <w:w w:val="105"/>
        </w:rPr>
        <w:t xml:space="preserve"> </w:t>
      </w:r>
      <w:r w:rsidRPr="00EA2D0A">
        <w:rPr>
          <w:w w:val="105"/>
        </w:rPr>
        <w:t>data</w:t>
      </w:r>
      <w:r w:rsidRPr="00EA2D0A">
        <w:rPr>
          <w:spacing w:val="36"/>
          <w:w w:val="105"/>
        </w:rPr>
        <w:t xml:space="preserve"> </w:t>
      </w:r>
      <w:r w:rsidRPr="00EA2D0A">
        <w:rPr>
          <w:w w:val="105"/>
        </w:rPr>
        <w:t>in</w:t>
      </w:r>
      <w:r w:rsidRPr="00EA2D0A">
        <w:rPr>
          <w:spacing w:val="36"/>
          <w:w w:val="105"/>
        </w:rPr>
        <w:t xml:space="preserve"> </w:t>
      </w:r>
      <w:r w:rsidRPr="00EA2D0A">
        <w:rPr>
          <w:w w:val="105"/>
        </w:rPr>
        <w:t>a</w:t>
      </w:r>
      <w:r w:rsidRPr="00EA2D0A">
        <w:rPr>
          <w:spacing w:val="36"/>
          <w:w w:val="105"/>
        </w:rPr>
        <w:t xml:space="preserve"> </w:t>
      </w:r>
      <w:r w:rsidRPr="00EA2D0A">
        <w:rPr>
          <w:w w:val="105"/>
        </w:rPr>
        <w:t>single</w:t>
      </w:r>
      <w:r w:rsidRPr="00EA2D0A">
        <w:rPr>
          <w:spacing w:val="36"/>
          <w:w w:val="105"/>
        </w:rPr>
        <w:t xml:space="preserve"> </w:t>
      </w:r>
      <w:r w:rsidRPr="00EA2D0A">
        <w:rPr>
          <w:w w:val="105"/>
        </w:rPr>
        <w:t>imaging</w:t>
      </w:r>
      <w:r w:rsidRPr="00EA2D0A">
        <w:rPr>
          <w:spacing w:val="36"/>
          <w:w w:val="105"/>
        </w:rPr>
        <w:t xml:space="preserve"> </w:t>
      </w:r>
      <w:r w:rsidRPr="00EA2D0A">
        <w:rPr>
          <w:w w:val="105"/>
        </w:rPr>
        <w:t>session,</w:t>
      </w:r>
      <w:r w:rsidRPr="00EA2D0A">
        <w:rPr>
          <w:spacing w:val="35"/>
          <w:w w:val="105"/>
        </w:rPr>
        <w:t xml:space="preserve"> </w:t>
      </w:r>
      <w:r w:rsidRPr="00EA2D0A">
        <w:rPr>
          <w:w w:val="105"/>
        </w:rPr>
        <w:t>a</w:t>
      </w:r>
      <w:r w:rsidRPr="00EA2D0A">
        <w:rPr>
          <w:spacing w:val="36"/>
          <w:w w:val="105"/>
        </w:rPr>
        <w:t xml:space="preserve"> </w:t>
      </w:r>
      <w:r w:rsidRPr="00EA2D0A">
        <w:rPr>
          <w:w w:val="105"/>
        </w:rPr>
        <w:t>new</w:t>
      </w:r>
      <w:r>
        <w:t xml:space="preserve"> challenge</w:t>
      </w:r>
      <w:r w:rsidRPr="00EA2D0A">
        <w:rPr>
          <w:w w:val="105"/>
          <w:sz w:val="22"/>
          <w:szCs w:val="22"/>
        </w:rPr>
        <w:t xml:space="preserve"> needs to first be addressed to obtain quantitatively accurate PET data. In an integrated MR-PET scanner, the information needed for PET attenuation correction (AC) </w:t>
      </w:r>
      <w:proofErr w:type="gramStart"/>
      <w:r w:rsidRPr="00EA2D0A">
        <w:rPr>
          <w:w w:val="105"/>
          <w:sz w:val="22"/>
          <w:szCs w:val="22"/>
        </w:rPr>
        <w:t>has to</w:t>
      </w:r>
      <w:proofErr w:type="gramEnd"/>
      <w:r w:rsidRPr="00EA2D0A">
        <w:rPr>
          <w:w w:val="105"/>
          <w:sz w:val="22"/>
          <w:szCs w:val="22"/>
        </w:rPr>
        <w:t xml:space="preserve"> be derived from the MR data and the methods currently available for this task are inadequate for advanced quantitative studies.</w:t>
      </w:r>
    </w:p>
    <w:p w14:paraId="40CACEFC" w14:textId="77777777" w:rsidR="00EA2D0A" w:rsidRPr="00EA2D0A" w:rsidRDefault="00EA2D0A" w:rsidP="00EA2D0A">
      <w:pPr>
        <w:pStyle w:val="BodyText"/>
        <w:spacing w:before="7"/>
        <w:rPr>
          <w:sz w:val="22"/>
          <w:szCs w:val="22"/>
        </w:rPr>
      </w:pPr>
    </w:p>
    <w:p w14:paraId="3F736467" w14:textId="77777777" w:rsidR="00EA2D0A" w:rsidRPr="00EA2D0A" w:rsidRDefault="00EA2D0A" w:rsidP="00EA2D0A">
      <w:pPr>
        <w:pStyle w:val="ListParagraph"/>
        <w:numPr>
          <w:ilvl w:val="0"/>
          <w:numId w:val="1"/>
        </w:numPr>
        <w:tabs>
          <w:tab w:val="left" w:pos="455"/>
        </w:tabs>
        <w:spacing w:line="252" w:lineRule="auto"/>
      </w:pPr>
      <w:r w:rsidRPr="00EA2D0A">
        <w:rPr>
          <w:b/>
          <w:w w:val="105"/>
        </w:rPr>
        <w:t xml:space="preserve">Preliminary Results. </w:t>
      </w:r>
      <w:r w:rsidRPr="00EA2D0A">
        <w:rPr>
          <w:w w:val="105"/>
        </w:rPr>
        <w:t xml:space="preserve">We have formed an academic-industrial partnership to accelerate the translation of multimodal MR-PET machine learning approaches into </w:t>
      </w:r>
      <w:proofErr w:type="spellStart"/>
      <w:r w:rsidRPr="00EA2D0A">
        <w:rPr>
          <w:w w:val="105"/>
        </w:rPr>
        <w:t>PCa</w:t>
      </w:r>
      <w:proofErr w:type="spellEnd"/>
      <w:r w:rsidRPr="00EA2D0A">
        <w:rPr>
          <w:w w:val="105"/>
        </w:rPr>
        <w:t xml:space="preserve"> research and clinical applications by addressing the AC challenge and validating machine learning models for detecting clinically significant disease against gold standard histopathology in patients undergoing radical</w:t>
      </w:r>
      <w:r w:rsidRPr="00EA2D0A">
        <w:rPr>
          <w:spacing w:val="2"/>
          <w:w w:val="105"/>
        </w:rPr>
        <w:t xml:space="preserve"> </w:t>
      </w:r>
      <w:r w:rsidRPr="00EA2D0A">
        <w:rPr>
          <w:w w:val="105"/>
        </w:rPr>
        <w:t>prostatectomy.</w:t>
      </w:r>
    </w:p>
    <w:p w14:paraId="48DF8880" w14:textId="77777777" w:rsidR="00EA2D0A" w:rsidRPr="00EA2D0A" w:rsidRDefault="00EA2D0A" w:rsidP="00EA2D0A">
      <w:pPr>
        <w:pStyle w:val="BodyText"/>
        <w:spacing w:before="6"/>
        <w:rPr>
          <w:sz w:val="22"/>
          <w:szCs w:val="22"/>
        </w:rPr>
      </w:pPr>
    </w:p>
    <w:p w14:paraId="42848279" w14:textId="77777777" w:rsidR="00EA2D0A" w:rsidRPr="00EA2D0A" w:rsidRDefault="00EA2D0A" w:rsidP="00EA2D0A">
      <w:pPr>
        <w:pStyle w:val="ListParagraph"/>
        <w:numPr>
          <w:ilvl w:val="0"/>
          <w:numId w:val="1"/>
        </w:numPr>
        <w:tabs>
          <w:tab w:val="left" w:pos="457"/>
        </w:tabs>
        <w:spacing w:line="252" w:lineRule="auto"/>
        <w:ind w:left="139" w:firstLine="0"/>
        <w:jc w:val="both"/>
      </w:pPr>
      <w:r w:rsidRPr="00EA2D0A">
        <w:rPr>
          <w:b/>
          <w:w w:val="105"/>
        </w:rPr>
        <w:t>Future Experimental Plan and Need for the Proposed Instrument</w:t>
      </w:r>
      <w:r w:rsidRPr="00EA2D0A">
        <w:rPr>
          <w:w w:val="105"/>
        </w:rPr>
        <w:t xml:space="preserve">. The Ga-68 automated radiotracer production system is essential for the success of our project in which we proposed to use [68Ga]-PSMA, an agent that exhibits high specificity for prostate cancer cells given their significantly increased expression of PSMA. Previous studies have shown that adding the PET's prostate cancer-specific information to structural/functional MRI may improve the diagnostic accuracy of MRI in this primary prostate cancer patients. Our goal is to combine [68Ga]-PSMA PET and multiparametric MR data to improve the characterization of clinically significant primary prostate cancer. We will utilize the proposed equipment to produce [68Ga]-PSMA for preclinical and human clinical imaging experiments. We hypothesize that a machine learning approach applied to multimodal MR-PET images that capture morphological, functional and molecular changes in prostate cancer will result in a method with enhanced diagnostic performance. </w:t>
      </w:r>
      <w:r w:rsidRPr="00EA2D0A">
        <w:rPr>
          <w:color w:val="0000FF"/>
          <w:w w:val="105"/>
        </w:rPr>
        <w:t>The dedicated Ga-68 automated radiotracer production system will allow essentially on-demand cGMP production of [68Ga]-PSMA which will accelerate my research by increasing the number of days at which it is possible to scan subjects</w:t>
      </w:r>
      <w:r w:rsidRPr="00EA2D0A">
        <w:rPr>
          <w:color w:val="0000FF"/>
          <w:spacing w:val="-33"/>
          <w:w w:val="105"/>
        </w:rPr>
        <w:t xml:space="preserve"> </w:t>
      </w:r>
      <w:r w:rsidRPr="00EA2D0A">
        <w:rPr>
          <w:color w:val="0000FF"/>
          <w:spacing w:val="2"/>
          <w:w w:val="105"/>
        </w:rPr>
        <w:t xml:space="preserve">and </w:t>
      </w:r>
      <w:r w:rsidRPr="00EA2D0A">
        <w:rPr>
          <w:color w:val="0000FF"/>
          <w:w w:val="105"/>
        </w:rPr>
        <w:t>thus make patient recruitment</w:t>
      </w:r>
      <w:r w:rsidRPr="00EA2D0A">
        <w:rPr>
          <w:color w:val="0000FF"/>
          <w:spacing w:val="2"/>
          <w:w w:val="105"/>
        </w:rPr>
        <w:t xml:space="preserve"> </w:t>
      </w:r>
      <w:r w:rsidRPr="00EA2D0A">
        <w:rPr>
          <w:color w:val="0000FF"/>
          <w:w w:val="105"/>
        </w:rPr>
        <w:t>easier.</w:t>
      </w:r>
    </w:p>
    <w:p w14:paraId="708E2BFA" w14:textId="77777777" w:rsidR="00601245" w:rsidRPr="00EA2D0A" w:rsidRDefault="00EA2D0A" w:rsidP="00EA2D0A">
      <w:pPr>
        <w:tabs>
          <w:tab w:val="left" w:pos="472"/>
        </w:tabs>
        <w:spacing w:line="252" w:lineRule="auto"/>
        <w:ind w:left="138" w:right="138"/>
        <w:sectPr w:rsidR="00601245" w:rsidRPr="00EA2D0A">
          <w:type w:val="continuous"/>
          <w:pgSz w:w="12240" w:h="15840"/>
          <w:pgMar w:top="480" w:right="580" w:bottom="280" w:left="580" w:header="720" w:footer="720" w:gutter="0"/>
          <w:cols w:space="720"/>
        </w:sectPr>
      </w:pPr>
      <w:r>
        <w:t xml:space="preserve">  </w:t>
      </w:r>
    </w:p>
    <w:p w14:paraId="193A15BA" w14:textId="77777777" w:rsidR="00601245" w:rsidRPr="00EA2D0A" w:rsidRDefault="00601245" w:rsidP="00EA2D0A">
      <w:pPr>
        <w:pStyle w:val="BodyText"/>
        <w:spacing w:before="84" w:line="249" w:lineRule="auto"/>
        <w:ind w:right="137"/>
        <w:jc w:val="both"/>
        <w:rPr>
          <w:sz w:val="22"/>
          <w:szCs w:val="22"/>
        </w:rPr>
      </w:pPr>
    </w:p>
    <w:sectPr w:rsidR="00601245" w:rsidRPr="00EA2D0A">
      <w:pgSz w:w="12240" w:h="15840"/>
      <w:pgMar w:top="640" w:right="5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41DE2"/>
    <w:multiLevelType w:val="hybridMultilevel"/>
    <w:tmpl w:val="3E4E9282"/>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 w15:restartNumberingAfterBreak="0">
    <w:nsid w:val="18E4200D"/>
    <w:multiLevelType w:val="hybridMultilevel"/>
    <w:tmpl w:val="A42466A0"/>
    <w:lvl w:ilvl="0" w:tplc="7AFCB3C4">
      <w:start w:val="1"/>
      <w:numFmt w:val="decimal"/>
      <w:lvlText w:val="%1)"/>
      <w:lvlJc w:val="left"/>
      <w:pPr>
        <w:ind w:left="140" w:hanging="311"/>
        <w:jc w:val="left"/>
      </w:pPr>
      <w:rPr>
        <w:rFonts w:ascii="Arial" w:eastAsia="Arial" w:hAnsi="Arial" w:cs="Arial" w:hint="default"/>
        <w:b/>
        <w:bCs/>
        <w:color w:val="0432FF"/>
        <w:spacing w:val="0"/>
        <w:w w:val="102"/>
        <w:sz w:val="21"/>
        <w:szCs w:val="21"/>
      </w:rPr>
    </w:lvl>
    <w:lvl w:ilvl="1" w:tplc="0258318C">
      <w:numFmt w:val="bullet"/>
      <w:lvlText w:val="•"/>
      <w:lvlJc w:val="left"/>
      <w:pPr>
        <w:ind w:left="1234" w:hanging="311"/>
      </w:pPr>
      <w:rPr>
        <w:rFonts w:hint="default"/>
      </w:rPr>
    </w:lvl>
    <w:lvl w:ilvl="2" w:tplc="40B02760">
      <w:numFmt w:val="bullet"/>
      <w:lvlText w:val="•"/>
      <w:lvlJc w:val="left"/>
      <w:pPr>
        <w:ind w:left="2328" w:hanging="311"/>
      </w:pPr>
      <w:rPr>
        <w:rFonts w:hint="default"/>
      </w:rPr>
    </w:lvl>
    <w:lvl w:ilvl="3" w:tplc="FBC07DF6">
      <w:numFmt w:val="bullet"/>
      <w:lvlText w:val="•"/>
      <w:lvlJc w:val="left"/>
      <w:pPr>
        <w:ind w:left="3422" w:hanging="311"/>
      </w:pPr>
      <w:rPr>
        <w:rFonts w:hint="default"/>
      </w:rPr>
    </w:lvl>
    <w:lvl w:ilvl="4" w:tplc="E034D770">
      <w:numFmt w:val="bullet"/>
      <w:lvlText w:val="•"/>
      <w:lvlJc w:val="left"/>
      <w:pPr>
        <w:ind w:left="4516" w:hanging="311"/>
      </w:pPr>
      <w:rPr>
        <w:rFonts w:hint="default"/>
      </w:rPr>
    </w:lvl>
    <w:lvl w:ilvl="5" w:tplc="5E3A50FA">
      <w:numFmt w:val="bullet"/>
      <w:lvlText w:val="•"/>
      <w:lvlJc w:val="left"/>
      <w:pPr>
        <w:ind w:left="5610" w:hanging="311"/>
      </w:pPr>
      <w:rPr>
        <w:rFonts w:hint="default"/>
      </w:rPr>
    </w:lvl>
    <w:lvl w:ilvl="6" w:tplc="FF921636">
      <w:numFmt w:val="bullet"/>
      <w:lvlText w:val="•"/>
      <w:lvlJc w:val="left"/>
      <w:pPr>
        <w:ind w:left="6704" w:hanging="311"/>
      </w:pPr>
      <w:rPr>
        <w:rFonts w:hint="default"/>
      </w:rPr>
    </w:lvl>
    <w:lvl w:ilvl="7" w:tplc="817625A6">
      <w:numFmt w:val="bullet"/>
      <w:lvlText w:val="•"/>
      <w:lvlJc w:val="left"/>
      <w:pPr>
        <w:ind w:left="7798" w:hanging="311"/>
      </w:pPr>
      <w:rPr>
        <w:rFonts w:hint="default"/>
      </w:rPr>
    </w:lvl>
    <w:lvl w:ilvl="8" w:tplc="ADA8BAF2">
      <w:numFmt w:val="bullet"/>
      <w:lvlText w:val="•"/>
      <w:lvlJc w:val="left"/>
      <w:pPr>
        <w:ind w:left="8892" w:hanging="311"/>
      </w:pPr>
      <w:rPr>
        <w:rFonts w:hint="default"/>
      </w:rPr>
    </w:lvl>
  </w:abstractNum>
  <w:abstractNum w:abstractNumId="2" w15:restartNumberingAfterBreak="0">
    <w:nsid w:val="1D5150EC"/>
    <w:multiLevelType w:val="hybridMultilevel"/>
    <w:tmpl w:val="2022388A"/>
    <w:lvl w:ilvl="0" w:tplc="8D7EBB5E">
      <w:start w:val="1"/>
      <w:numFmt w:val="upperLetter"/>
      <w:lvlText w:val="%1."/>
      <w:lvlJc w:val="left"/>
      <w:pPr>
        <w:ind w:left="138" w:hanging="345"/>
        <w:jc w:val="left"/>
      </w:pPr>
      <w:rPr>
        <w:rFonts w:ascii="Arial" w:eastAsia="Arial" w:hAnsi="Arial" w:cs="Arial" w:hint="default"/>
        <w:b/>
        <w:bCs/>
        <w:spacing w:val="0"/>
        <w:w w:val="102"/>
        <w:sz w:val="21"/>
        <w:szCs w:val="21"/>
      </w:rPr>
    </w:lvl>
    <w:lvl w:ilvl="1" w:tplc="9CA01628">
      <w:numFmt w:val="bullet"/>
      <w:lvlText w:val="•"/>
      <w:lvlJc w:val="left"/>
      <w:pPr>
        <w:ind w:left="1234" w:hanging="345"/>
      </w:pPr>
      <w:rPr>
        <w:rFonts w:hint="default"/>
      </w:rPr>
    </w:lvl>
    <w:lvl w:ilvl="2" w:tplc="7FA8BFA8">
      <w:numFmt w:val="bullet"/>
      <w:lvlText w:val="•"/>
      <w:lvlJc w:val="left"/>
      <w:pPr>
        <w:ind w:left="2328" w:hanging="345"/>
      </w:pPr>
      <w:rPr>
        <w:rFonts w:hint="default"/>
      </w:rPr>
    </w:lvl>
    <w:lvl w:ilvl="3" w:tplc="116475C8">
      <w:numFmt w:val="bullet"/>
      <w:lvlText w:val="•"/>
      <w:lvlJc w:val="left"/>
      <w:pPr>
        <w:ind w:left="3422" w:hanging="345"/>
      </w:pPr>
      <w:rPr>
        <w:rFonts w:hint="default"/>
      </w:rPr>
    </w:lvl>
    <w:lvl w:ilvl="4" w:tplc="DD906A78">
      <w:numFmt w:val="bullet"/>
      <w:lvlText w:val="•"/>
      <w:lvlJc w:val="left"/>
      <w:pPr>
        <w:ind w:left="4516" w:hanging="345"/>
      </w:pPr>
      <w:rPr>
        <w:rFonts w:hint="default"/>
      </w:rPr>
    </w:lvl>
    <w:lvl w:ilvl="5" w:tplc="F844FFA4">
      <w:numFmt w:val="bullet"/>
      <w:lvlText w:val="•"/>
      <w:lvlJc w:val="left"/>
      <w:pPr>
        <w:ind w:left="5610" w:hanging="345"/>
      </w:pPr>
      <w:rPr>
        <w:rFonts w:hint="default"/>
      </w:rPr>
    </w:lvl>
    <w:lvl w:ilvl="6" w:tplc="C52E140E">
      <w:numFmt w:val="bullet"/>
      <w:lvlText w:val="•"/>
      <w:lvlJc w:val="left"/>
      <w:pPr>
        <w:ind w:left="6704" w:hanging="345"/>
      </w:pPr>
      <w:rPr>
        <w:rFonts w:hint="default"/>
      </w:rPr>
    </w:lvl>
    <w:lvl w:ilvl="7" w:tplc="A2029C08">
      <w:numFmt w:val="bullet"/>
      <w:lvlText w:val="•"/>
      <w:lvlJc w:val="left"/>
      <w:pPr>
        <w:ind w:left="7798" w:hanging="345"/>
      </w:pPr>
      <w:rPr>
        <w:rFonts w:hint="default"/>
      </w:rPr>
    </w:lvl>
    <w:lvl w:ilvl="8" w:tplc="699E3AEE">
      <w:numFmt w:val="bullet"/>
      <w:lvlText w:val="•"/>
      <w:lvlJc w:val="left"/>
      <w:pPr>
        <w:ind w:left="8892" w:hanging="345"/>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601245"/>
    <w:rsid w:val="002A0C85"/>
    <w:rsid w:val="00601245"/>
    <w:rsid w:val="00B058C7"/>
    <w:rsid w:val="00EA2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995511E"/>
  <w15:docId w15:val="{3A6AE904-AE1E-4C0B-B505-834627B39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39"/>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39" w:right="13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961</Words>
  <Characters>5480</Characters>
  <Application>Microsoft Office Word</Application>
  <DocSecurity>0</DocSecurity>
  <Lines>45</Lines>
  <Paragraphs>12</Paragraphs>
  <ScaleCrop>false</ScaleCrop>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FINALInstrumentationPlan.docx</dc:title>
  <cp:lastModifiedBy>Vest, Matthew</cp:lastModifiedBy>
  <cp:revision>3</cp:revision>
  <dcterms:created xsi:type="dcterms:W3CDTF">2021-04-02T13:45:00Z</dcterms:created>
  <dcterms:modified xsi:type="dcterms:W3CDTF">2021-04-08T14:32:00Z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2020-09-02T00:00:00Z</vt:filetime>
  </property>
  <property fmtid="{D5CDD505-2E9C-101B-9397-08002B2CF9AE}" pid="3" name="Creator">
    <vt:lpwstr>Word</vt:lpwstr>
  </property>
  <property fmtid="{D5CDD505-2E9C-101B-9397-08002B2CF9AE}" pid="4" name="LastSaved">
    <vt:filetime>2020-11-03T00:00:00Z</vt:filetime>
  </property>
</Properties>
</file>