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1580" w:val="left" w:leader="none"/>
        </w:tabs>
        <w:spacing w:before="78"/>
        <w:ind w:left="140"/>
      </w:pPr>
      <w:r>
        <w:rPr/>
        <w:t>Date:</w:t>
        <w:tab/>
        <w:t>November 3</w:t>
      </w:r>
      <w:r>
        <w:rPr>
          <w:vertAlign w:val="superscript"/>
        </w:rPr>
        <w:t>rd</w:t>
      </w:r>
      <w:r>
        <w:rPr>
          <w:vertAlign w:val="baseline"/>
        </w:rPr>
        <w:t>, 2020</w:t>
      </w:r>
    </w:p>
    <w:p>
      <w:pPr>
        <w:pStyle w:val="BodyText"/>
        <w:spacing w:before="1"/>
      </w:pPr>
    </w:p>
    <w:p>
      <w:pPr>
        <w:tabs>
          <w:tab w:pos="1580" w:val="left" w:leader="none"/>
        </w:tabs>
        <w:spacing w:line="276" w:lineRule="exact" w:before="1"/>
        <w:ind w:left="140" w:right="0" w:firstLine="0"/>
        <w:jc w:val="left"/>
        <w:rPr>
          <w:sz w:val="24"/>
        </w:rPr>
      </w:pPr>
      <w:r>
        <w:rPr>
          <w:sz w:val="22"/>
        </w:rPr>
        <w:t>From:</w:t>
        <w:tab/>
      </w:r>
      <w:r>
        <w:rPr>
          <w:sz w:val="24"/>
        </w:rPr>
        <w:t>Harry W. Orf,</w:t>
      </w:r>
      <w:r>
        <w:rPr>
          <w:spacing w:val="-5"/>
          <w:sz w:val="24"/>
        </w:rPr>
        <w:t> </w:t>
      </w:r>
      <w:r>
        <w:rPr>
          <w:sz w:val="24"/>
        </w:rPr>
        <w:t>PhD</w:t>
      </w:r>
    </w:p>
    <w:p>
      <w:pPr>
        <w:pStyle w:val="BodyText"/>
        <w:spacing w:line="253" w:lineRule="exact"/>
        <w:ind w:left="1580"/>
      </w:pPr>
      <w:r>
        <w:rPr/>
        <w:t>Senior Vice President for Research, MGH</w:t>
      </w:r>
    </w:p>
    <w:p>
      <w:pPr>
        <w:pStyle w:val="BodyText"/>
      </w:pPr>
    </w:p>
    <w:p>
      <w:pPr>
        <w:pStyle w:val="BodyText"/>
        <w:tabs>
          <w:tab w:pos="1580" w:val="left" w:leader="none"/>
        </w:tabs>
        <w:ind w:left="140"/>
      </w:pPr>
      <w:r>
        <w:rPr/>
        <w:pict>
          <v:rect style="position:absolute;margin-left:52.560001pt;margin-top:25.269558pt;width:506.98pt;height:.48pt;mso-position-horizontal-relative:page;mso-position-vertical-relative:paragraph;z-index:15728640" filled="true" fillcolor="#000000" stroked="false">
            <v:fill type="solid"/>
            <w10:wrap type="none"/>
          </v:rect>
        </w:pict>
      </w:r>
      <w:r>
        <w:rPr/>
        <w:t>Subject:</w:t>
        <w:tab/>
        <w:t>MGH FY21 Fringe Benefit and Indirect Cost</w:t>
      </w:r>
      <w:r>
        <w:rPr>
          <w:spacing w:val="-2"/>
        </w:rPr>
        <w:t> </w:t>
      </w:r>
      <w:r>
        <w:rPr/>
        <w:t>Rates</w:t>
      </w:r>
    </w:p>
    <w:p>
      <w:pPr>
        <w:pStyle w:val="BodyText"/>
        <w:rPr>
          <w:sz w:val="20"/>
        </w:rPr>
      </w:pPr>
    </w:p>
    <w:p>
      <w:pPr>
        <w:pStyle w:val="BodyText"/>
        <w:spacing w:before="6"/>
        <w:rPr>
          <w:sz w:val="18"/>
        </w:rPr>
      </w:pPr>
    </w:p>
    <w:p>
      <w:pPr>
        <w:pStyle w:val="BodyText"/>
        <w:spacing w:line="244" w:lineRule="auto" w:before="91"/>
        <w:ind w:left="140" w:right="629"/>
      </w:pPr>
      <w:r>
        <w:rPr/>
        <w:t>I am writing to communicate the FY21 Fringe Benefit and Indirect Cost Rates that will be applied on MGH research funds, effective October 1, 2020.</w:t>
      </w:r>
    </w:p>
    <w:p>
      <w:pPr>
        <w:pStyle w:val="BodyText"/>
        <w:spacing w:before="7"/>
        <w:rPr>
          <w:sz w:val="23"/>
        </w:rPr>
      </w:pPr>
    </w:p>
    <w:p>
      <w:pPr>
        <w:pStyle w:val="BodyText"/>
        <w:spacing w:line="252" w:lineRule="exact"/>
        <w:ind w:left="140"/>
      </w:pPr>
      <w:r>
        <w:rPr>
          <w:u w:val="single"/>
        </w:rPr>
        <w:t>Fringe Benefit Rates</w:t>
      </w:r>
    </w:p>
    <w:p>
      <w:pPr>
        <w:pStyle w:val="BodyText"/>
        <w:ind w:left="140" w:right="126"/>
      </w:pPr>
      <w:r>
        <w:rPr/>
        <w:t>The fringe rate for Professional staff will decrease to 32% in FY21 and FY22. The decrease is due to the three- month freeze in pension expenses in FY20 spread over two years. The fringe rate for Non-professional staff will increase to 34% in FY21. Although the pension benefits have a three-month freeze for Non-Professional staff, this increase in FY21 is due to higher pension expenses caused by current low interest rates.</w:t>
      </w:r>
    </w:p>
    <w:p>
      <w:pPr>
        <w:pStyle w:val="BodyText"/>
        <w:spacing w:before="6"/>
        <w:rPr>
          <w:sz w:val="24"/>
        </w:rPr>
      </w:pPr>
    </w:p>
    <w:p>
      <w:pPr>
        <w:pStyle w:val="BodyText"/>
        <w:ind w:left="140"/>
      </w:pPr>
      <w:r>
        <w:rPr/>
        <w:t>The FY21 Fringe Benefit Rates will be applied to all MGH research funds effective October 1, 2020. While the FY22 fringe benefit rates will not be established until next September based on updated known costs, we are recommending that grant budgets for future years incorporate the following multi-year fringe rate assumptions.</w:t>
      </w:r>
    </w:p>
    <w:p>
      <w:pPr>
        <w:pStyle w:val="BodyText"/>
        <w:spacing w:before="3"/>
        <w:rPr>
          <w:sz w:val="24"/>
        </w:r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1"/>
        <w:gridCol w:w="1440"/>
        <w:gridCol w:w="1532"/>
        <w:gridCol w:w="1621"/>
        <w:gridCol w:w="1529"/>
      </w:tblGrid>
      <w:tr>
        <w:trPr>
          <w:trHeight w:val="378" w:hRule="atLeast"/>
        </w:trPr>
        <w:tc>
          <w:tcPr>
            <w:tcW w:w="3781" w:type="dxa"/>
            <w:tcBorders>
              <w:top w:val="nil"/>
              <w:left w:val="nil"/>
            </w:tcBorders>
          </w:tcPr>
          <w:p>
            <w:pPr>
              <w:pStyle w:val="TableParagraph"/>
              <w:spacing w:before="86"/>
              <w:ind w:left="112"/>
              <w:rPr>
                <w:i/>
                <w:sz w:val="18"/>
              </w:rPr>
            </w:pPr>
            <w:r>
              <w:rPr>
                <w:i/>
                <w:sz w:val="18"/>
              </w:rPr>
              <w:t>* anticipated rates for budgeting purposes only</w:t>
            </w:r>
          </w:p>
        </w:tc>
        <w:tc>
          <w:tcPr>
            <w:tcW w:w="6122" w:type="dxa"/>
            <w:gridSpan w:val="4"/>
          </w:tcPr>
          <w:p>
            <w:pPr>
              <w:pStyle w:val="TableParagraph"/>
              <w:spacing w:before="74"/>
              <w:ind w:left="764" w:right="757"/>
              <w:jc w:val="center"/>
              <w:rPr>
                <w:b/>
                <w:sz w:val="20"/>
              </w:rPr>
            </w:pPr>
            <w:r>
              <w:rPr>
                <w:b/>
                <w:sz w:val="20"/>
              </w:rPr>
              <w:t>Fringe Rates</w:t>
            </w:r>
          </w:p>
        </w:tc>
      </w:tr>
      <w:tr>
        <w:trPr>
          <w:trHeight w:val="479" w:hRule="atLeast"/>
        </w:trPr>
        <w:tc>
          <w:tcPr>
            <w:tcW w:w="3781" w:type="dxa"/>
          </w:tcPr>
          <w:p>
            <w:pPr>
              <w:pStyle w:val="TableParagraph"/>
              <w:spacing w:before="125"/>
              <w:ind w:left="158"/>
              <w:rPr>
                <w:b/>
                <w:sz w:val="20"/>
              </w:rPr>
            </w:pPr>
            <w:r>
              <w:rPr>
                <w:b/>
                <w:sz w:val="20"/>
              </w:rPr>
              <w:t>Employee Category</w:t>
            </w:r>
          </w:p>
        </w:tc>
        <w:tc>
          <w:tcPr>
            <w:tcW w:w="1440" w:type="dxa"/>
          </w:tcPr>
          <w:p>
            <w:pPr>
              <w:pStyle w:val="TableParagraph"/>
              <w:spacing w:before="125"/>
              <w:ind w:left="487"/>
              <w:rPr>
                <w:b/>
                <w:sz w:val="20"/>
              </w:rPr>
            </w:pPr>
            <w:r>
              <w:rPr>
                <w:b/>
                <w:sz w:val="20"/>
              </w:rPr>
              <w:t>FY20</w:t>
            </w:r>
          </w:p>
        </w:tc>
        <w:tc>
          <w:tcPr>
            <w:tcW w:w="1532" w:type="dxa"/>
            <w:shd w:val="clear" w:color="auto" w:fill="FFFF00"/>
          </w:tcPr>
          <w:p>
            <w:pPr>
              <w:pStyle w:val="TableParagraph"/>
              <w:spacing w:before="125"/>
              <w:ind w:left="530"/>
              <w:rPr>
                <w:b/>
                <w:sz w:val="20"/>
              </w:rPr>
            </w:pPr>
            <w:r>
              <w:rPr>
                <w:b/>
                <w:sz w:val="20"/>
              </w:rPr>
              <w:t>FY21</w:t>
            </w:r>
          </w:p>
        </w:tc>
        <w:tc>
          <w:tcPr>
            <w:tcW w:w="1621" w:type="dxa"/>
            <w:shd w:val="clear" w:color="auto" w:fill="FFFF00"/>
          </w:tcPr>
          <w:p>
            <w:pPr>
              <w:pStyle w:val="TableParagraph"/>
              <w:spacing w:before="125"/>
              <w:ind w:left="357" w:right="356"/>
              <w:jc w:val="center"/>
              <w:rPr>
                <w:b/>
                <w:sz w:val="20"/>
              </w:rPr>
            </w:pPr>
            <w:r>
              <w:rPr>
                <w:b/>
                <w:sz w:val="20"/>
              </w:rPr>
              <w:t>FY22</w:t>
            </w:r>
          </w:p>
        </w:tc>
        <w:tc>
          <w:tcPr>
            <w:tcW w:w="1529" w:type="dxa"/>
            <w:shd w:val="clear" w:color="auto" w:fill="FFFF00"/>
          </w:tcPr>
          <w:p>
            <w:pPr>
              <w:pStyle w:val="TableParagraph"/>
              <w:spacing w:before="10"/>
              <w:ind w:left="311" w:right="310"/>
              <w:jc w:val="center"/>
              <w:rPr>
                <w:b/>
                <w:sz w:val="20"/>
              </w:rPr>
            </w:pPr>
            <w:r>
              <w:rPr>
                <w:b/>
                <w:sz w:val="20"/>
              </w:rPr>
              <w:t>FY23</w:t>
            </w:r>
          </w:p>
          <w:p>
            <w:pPr>
              <w:pStyle w:val="TableParagraph"/>
              <w:spacing w:line="219" w:lineRule="exact"/>
              <w:ind w:left="311" w:right="310"/>
              <w:jc w:val="center"/>
              <w:rPr>
                <w:b/>
                <w:sz w:val="20"/>
              </w:rPr>
            </w:pPr>
            <w:r>
              <w:rPr>
                <w:b/>
                <w:sz w:val="20"/>
              </w:rPr>
              <w:t>and after</w:t>
            </w:r>
          </w:p>
        </w:tc>
      </w:tr>
      <w:tr>
        <w:trPr>
          <w:trHeight w:val="436" w:hRule="atLeast"/>
        </w:trPr>
        <w:tc>
          <w:tcPr>
            <w:tcW w:w="3781" w:type="dxa"/>
          </w:tcPr>
          <w:p>
            <w:pPr>
              <w:pStyle w:val="TableParagraph"/>
              <w:rPr>
                <w:i/>
                <w:sz w:val="20"/>
              </w:rPr>
            </w:pPr>
            <w:r>
              <w:rPr>
                <w:i/>
                <w:sz w:val="20"/>
              </w:rPr>
              <w:t>Professional Staff</w:t>
            </w:r>
          </w:p>
          <w:p>
            <w:pPr>
              <w:pStyle w:val="TableParagraph"/>
              <w:spacing w:line="186" w:lineRule="exact"/>
              <w:rPr>
                <w:i/>
                <w:sz w:val="18"/>
              </w:rPr>
            </w:pPr>
            <w:r>
              <w:rPr>
                <w:i/>
                <w:sz w:val="18"/>
              </w:rPr>
              <w:t>(MDs and PhDs)</w:t>
            </w:r>
          </w:p>
        </w:tc>
        <w:tc>
          <w:tcPr>
            <w:tcW w:w="1440" w:type="dxa"/>
          </w:tcPr>
          <w:p>
            <w:pPr>
              <w:pStyle w:val="TableParagraph"/>
              <w:spacing w:before="103"/>
              <w:ind w:left="535"/>
              <w:rPr>
                <w:sz w:val="20"/>
              </w:rPr>
            </w:pPr>
            <w:r>
              <w:rPr>
                <w:sz w:val="20"/>
              </w:rPr>
              <w:t>35%</w:t>
            </w:r>
          </w:p>
        </w:tc>
        <w:tc>
          <w:tcPr>
            <w:tcW w:w="1532" w:type="dxa"/>
          </w:tcPr>
          <w:p>
            <w:pPr>
              <w:pStyle w:val="TableParagraph"/>
              <w:spacing w:before="103"/>
              <w:ind w:left="564"/>
              <w:rPr>
                <w:b/>
                <w:sz w:val="20"/>
              </w:rPr>
            </w:pPr>
            <w:r>
              <w:rPr>
                <w:b/>
                <w:sz w:val="20"/>
              </w:rPr>
              <w:t>32%</w:t>
            </w:r>
          </w:p>
        </w:tc>
        <w:tc>
          <w:tcPr>
            <w:tcW w:w="1621" w:type="dxa"/>
          </w:tcPr>
          <w:p>
            <w:pPr>
              <w:pStyle w:val="TableParagraph"/>
              <w:spacing w:before="103"/>
              <w:ind w:left="357" w:right="356"/>
              <w:jc w:val="center"/>
              <w:rPr>
                <w:sz w:val="20"/>
              </w:rPr>
            </w:pPr>
            <w:r>
              <w:rPr>
                <w:sz w:val="20"/>
              </w:rPr>
              <w:t>32%*</w:t>
            </w:r>
          </w:p>
        </w:tc>
        <w:tc>
          <w:tcPr>
            <w:tcW w:w="1529" w:type="dxa"/>
          </w:tcPr>
          <w:p>
            <w:pPr>
              <w:pStyle w:val="TableParagraph"/>
              <w:spacing w:before="103"/>
              <w:ind w:left="0" w:right="523"/>
              <w:jc w:val="right"/>
              <w:rPr>
                <w:sz w:val="20"/>
              </w:rPr>
            </w:pPr>
            <w:r>
              <w:rPr>
                <w:w w:val="95"/>
                <w:sz w:val="20"/>
              </w:rPr>
              <w:t>34%*</w:t>
            </w:r>
          </w:p>
        </w:tc>
      </w:tr>
      <w:tr>
        <w:trPr>
          <w:trHeight w:val="436" w:hRule="atLeast"/>
        </w:trPr>
        <w:tc>
          <w:tcPr>
            <w:tcW w:w="3781" w:type="dxa"/>
          </w:tcPr>
          <w:p>
            <w:pPr>
              <w:pStyle w:val="TableParagraph"/>
              <w:rPr>
                <w:i/>
                <w:sz w:val="20"/>
              </w:rPr>
            </w:pPr>
            <w:r>
              <w:rPr>
                <w:i/>
                <w:sz w:val="20"/>
              </w:rPr>
              <w:t>Non-professional Staff</w:t>
            </w:r>
          </w:p>
          <w:p>
            <w:pPr>
              <w:pStyle w:val="TableParagraph"/>
              <w:spacing w:line="187" w:lineRule="exact"/>
              <w:rPr>
                <w:i/>
                <w:sz w:val="18"/>
              </w:rPr>
            </w:pPr>
            <w:r>
              <w:rPr>
                <w:i/>
                <w:sz w:val="18"/>
              </w:rPr>
              <w:t>(Weekly Staff, Interns, Residents, Fellows)</w:t>
            </w:r>
          </w:p>
        </w:tc>
        <w:tc>
          <w:tcPr>
            <w:tcW w:w="1440" w:type="dxa"/>
          </w:tcPr>
          <w:p>
            <w:pPr>
              <w:pStyle w:val="TableParagraph"/>
              <w:spacing w:before="103"/>
              <w:ind w:left="535"/>
              <w:rPr>
                <w:sz w:val="20"/>
              </w:rPr>
            </w:pPr>
            <w:r>
              <w:rPr>
                <w:sz w:val="20"/>
              </w:rPr>
              <w:t>32%</w:t>
            </w:r>
          </w:p>
        </w:tc>
        <w:tc>
          <w:tcPr>
            <w:tcW w:w="1532" w:type="dxa"/>
          </w:tcPr>
          <w:p>
            <w:pPr>
              <w:pStyle w:val="TableParagraph"/>
              <w:spacing w:before="103"/>
              <w:ind w:left="564"/>
              <w:rPr>
                <w:b/>
                <w:sz w:val="20"/>
              </w:rPr>
            </w:pPr>
            <w:r>
              <w:rPr>
                <w:b/>
                <w:sz w:val="20"/>
              </w:rPr>
              <w:t>34%</w:t>
            </w:r>
          </w:p>
        </w:tc>
        <w:tc>
          <w:tcPr>
            <w:tcW w:w="1621" w:type="dxa"/>
          </w:tcPr>
          <w:p>
            <w:pPr>
              <w:pStyle w:val="TableParagraph"/>
              <w:spacing w:before="103"/>
              <w:ind w:left="357" w:right="356"/>
              <w:jc w:val="center"/>
              <w:rPr>
                <w:sz w:val="20"/>
              </w:rPr>
            </w:pPr>
            <w:r>
              <w:rPr>
                <w:sz w:val="20"/>
              </w:rPr>
              <w:t>34%*</w:t>
            </w:r>
          </w:p>
        </w:tc>
        <w:tc>
          <w:tcPr>
            <w:tcW w:w="1529" w:type="dxa"/>
          </w:tcPr>
          <w:p>
            <w:pPr>
              <w:pStyle w:val="TableParagraph"/>
              <w:spacing w:before="103"/>
              <w:ind w:left="0" w:right="523"/>
              <w:jc w:val="right"/>
              <w:rPr>
                <w:sz w:val="20"/>
              </w:rPr>
            </w:pPr>
            <w:r>
              <w:rPr>
                <w:w w:val="95"/>
                <w:sz w:val="20"/>
              </w:rPr>
              <w:t>35%*</w:t>
            </w:r>
          </w:p>
        </w:tc>
      </w:tr>
      <w:tr>
        <w:trPr>
          <w:trHeight w:val="433" w:hRule="atLeast"/>
        </w:trPr>
        <w:tc>
          <w:tcPr>
            <w:tcW w:w="3781" w:type="dxa"/>
          </w:tcPr>
          <w:p>
            <w:pPr>
              <w:pStyle w:val="TableParagraph"/>
              <w:spacing w:before="101"/>
              <w:rPr>
                <w:i/>
                <w:sz w:val="20"/>
              </w:rPr>
            </w:pPr>
            <w:r>
              <w:rPr>
                <w:i/>
                <w:sz w:val="20"/>
              </w:rPr>
              <w:t>Bulfinch Temporaries</w:t>
            </w:r>
          </w:p>
        </w:tc>
        <w:tc>
          <w:tcPr>
            <w:tcW w:w="1440" w:type="dxa"/>
          </w:tcPr>
          <w:p>
            <w:pPr>
              <w:pStyle w:val="TableParagraph"/>
              <w:spacing w:before="101"/>
              <w:ind w:left="535"/>
              <w:rPr>
                <w:sz w:val="20"/>
              </w:rPr>
            </w:pPr>
            <w:r>
              <w:rPr>
                <w:sz w:val="20"/>
              </w:rPr>
              <w:t>12%</w:t>
            </w:r>
          </w:p>
        </w:tc>
        <w:tc>
          <w:tcPr>
            <w:tcW w:w="1532" w:type="dxa"/>
          </w:tcPr>
          <w:p>
            <w:pPr>
              <w:pStyle w:val="TableParagraph"/>
              <w:spacing w:before="101"/>
              <w:ind w:left="564"/>
              <w:rPr>
                <w:b/>
                <w:sz w:val="20"/>
              </w:rPr>
            </w:pPr>
            <w:r>
              <w:rPr>
                <w:b/>
                <w:sz w:val="20"/>
              </w:rPr>
              <w:t>12%</w:t>
            </w:r>
          </w:p>
        </w:tc>
        <w:tc>
          <w:tcPr>
            <w:tcW w:w="1621" w:type="dxa"/>
          </w:tcPr>
          <w:p>
            <w:pPr>
              <w:pStyle w:val="TableParagraph"/>
              <w:spacing w:before="101"/>
              <w:ind w:left="357" w:right="356"/>
              <w:jc w:val="center"/>
              <w:rPr>
                <w:sz w:val="20"/>
              </w:rPr>
            </w:pPr>
            <w:r>
              <w:rPr>
                <w:sz w:val="20"/>
              </w:rPr>
              <w:t>12%*</w:t>
            </w:r>
          </w:p>
        </w:tc>
        <w:tc>
          <w:tcPr>
            <w:tcW w:w="1529" w:type="dxa"/>
          </w:tcPr>
          <w:p>
            <w:pPr>
              <w:pStyle w:val="TableParagraph"/>
              <w:spacing w:before="101"/>
              <w:ind w:left="0" w:right="523"/>
              <w:jc w:val="right"/>
              <w:rPr>
                <w:sz w:val="20"/>
              </w:rPr>
            </w:pPr>
            <w:r>
              <w:rPr>
                <w:sz w:val="20"/>
              </w:rPr>
              <w:t>12%*</w:t>
            </w:r>
          </w:p>
        </w:tc>
      </w:tr>
    </w:tbl>
    <w:p>
      <w:pPr>
        <w:pStyle w:val="BodyText"/>
        <w:spacing w:before="9"/>
        <w:rPr>
          <w:sz w:val="21"/>
        </w:rPr>
      </w:pPr>
    </w:p>
    <w:p>
      <w:pPr>
        <w:pStyle w:val="BodyText"/>
        <w:spacing w:line="252" w:lineRule="exact"/>
        <w:ind w:left="140"/>
      </w:pPr>
      <w:r>
        <w:rPr>
          <w:u w:val="single"/>
        </w:rPr>
        <w:t>Indirect Cost Rates</w:t>
      </w:r>
    </w:p>
    <w:p>
      <w:pPr>
        <w:pStyle w:val="BodyText"/>
        <w:ind w:left="140" w:right="126"/>
      </w:pPr>
      <w:r>
        <w:rPr/>
        <w:t>The federal rate agreement rates (per Rate Agreement dated September 28</w:t>
      </w:r>
      <w:r>
        <w:rPr>
          <w:vertAlign w:val="superscript"/>
        </w:rPr>
        <w:t>th</w:t>
      </w:r>
      <w:r>
        <w:rPr>
          <w:vertAlign w:val="baseline"/>
        </w:rPr>
        <w:t>, 2018) are reflected in the table below. A new rate agreement which will establish Fixed Rates for FY21 and FY22 is pending. The rates are anticipated to remain unchanged. The rates will be applied to all MGH research grants (and some contracts) effective October 1, 2020 and should be used in all contract, grant and subcontract proposals submitted to extramural sponsors.</w:t>
      </w:r>
    </w:p>
    <w:p>
      <w:pPr>
        <w:pStyle w:val="BodyText"/>
        <w:spacing w:before="2"/>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1"/>
        <w:gridCol w:w="1440"/>
        <w:gridCol w:w="1532"/>
        <w:gridCol w:w="1621"/>
        <w:gridCol w:w="1529"/>
      </w:tblGrid>
      <w:tr>
        <w:trPr>
          <w:trHeight w:val="421" w:hRule="atLeast"/>
        </w:trPr>
        <w:tc>
          <w:tcPr>
            <w:tcW w:w="3781" w:type="dxa"/>
            <w:tcBorders>
              <w:top w:val="nil"/>
              <w:left w:val="nil"/>
            </w:tcBorders>
          </w:tcPr>
          <w:p>
            <w:pPr>
              <w:pStyle w:val="TableParagraph"/>
              <w:ind w:left="0"/>
              <w:rPr>
                <w:sz w:val="20"/>
              </w:rPr>
            </w:pPr>
          </w:p>
        </w:tc>
        <w:tc>
          <w:tcPr>
            <w:tcW w:w="6122" w:type="dxa"/>
            <w:gridSpan w:val="4"/>
          </w:tcPr>
          <w:p>
            <w:pPr>
              <w:pStyle w:val="TableParagraph"/>
              <w:spacing w:before="96"/>
              <w:ind w:left="763" w:right="757"/>
              <w:jc w:val="center"/>
              <w:rPr>
                <w:b/>
                <w:sz w:val="20"/>
              </w:rPr>
            </w:pPr>
            <w:r>
              <w:rPr>
                <w:b/>
                <w:sz w:val="20"/>
              </w:rPr>
              <w:t>Indirect Cost Rates</w:t>
            </w:r>
          </w:p>
        </w:tc>
      </w:tr>
      <w:tr>
        <w:trPr>
          <w:trHeight w:val="460" w:hRule="atLeast"/>
        </w:trPr>
        <w:tc>
          <w:tcPr>
            <w:tcW w:w="3781" w:type="dxa"/>
          </w:tcPr>
          <w:p>
            <w:pPr>
              <w:pStyle w:val="TableParagraph"/>
              <w:spacing w:before="115"/>
              <w:rPr>
                <w:b/>
                <w:sz w:val="20"/>
              </w:rPr>
            </w:pPr>
            <w:r>
              <w:rPr>
                <w:b/>
                <w:sz w:val="20"/>
              </w:rPr>
              <w:t>Rate Type</w:t>
            </w:r>
          </w:p>
        </w:tc>
        <w:tc>
          <w:tcPr>
            <w:tcW w:w="1440" w:type="dxa"/>
          </w:tcPr>
          <w:p>
            <w:pPr>
              <w:pStyle w:val="TableParagraph"/>
              <w:spacing w:before="115"/>
              <w:ind w:left="261" w:right="249"/>
              <w:jc w:val="center"/>
              <w:rPr>
                <w:b/>
                <w:sz w:val="20"/>
              </w:rPr>
            </w:pPr>
            <w:r>
              <w:rPr>
                <w:b/>
                <w:sz w:val="20"/>
              </w:rPr>
              <w:t>FY20</w:t>
            </w:r>
          </w:p>
        </w:tc>
        <w:tc>
          <w:tcPr>
            <w:tcW w:w="1532" w:type="dxa"/>
            <w:shd w:val="clear" w:color="auto" w:fill="FFFF00"/>
          </w:tcPr>
          <w:p>
            <w:pPr>
              <w:pStyle w:val="TableParagraph"/>
              <w:spacing w:before="115"/>
              <w:ind w:left="315" w:right="309"/>
              <w:jc w:val="center"/>
              <w:rPr>
                <w:b/>
                <w:sz w:val="20"/>
              </w:rPr>
            </w:pPr>
            <w:r>
              <w:rPr>
                <w:b/>
                <w:sz w:val="20"/>
              </w:rPr>
              <w:t>FY21</w:t>
            </w:r>
          </w:p>
        </w:tc>
        <w:tc>
          <w:tcPr>
            <w:tcW w:w="1621" w:type="dxa"/>
            <w:shd w:val="clear" w:color="auto" w:fill="FFFF00"/>
          </w:tcPr>
          <w:p>
            <w:pPr>
              <w:pStyle w:val="TableParagraph"/>
              <w:spacing w:before="115"/>
              <w:ind w:left="357" w:right="356"/>
              <w:jc w:val="center"/>
              <w:rPr>
                <w:b/>
                <w:sz w:val="20"/>
              </w:rPr>
            </w:pPr>
            <w:r>
              <w:rPr>
                <w:b/>
                <w:sz w:val="20"/>
              </w:rPr>
              <w:t>FY22</w:t>
            </w:r>
          </w:p>
        </w:tc>
        <w:tc>
          <w:tcPr>
            <w:tcW w:w="1529" w:type="dxa"/>
            <w:shd w:val="clear" w:color="auto" w:fill="FFFF00"/>
          </w:tcPr>
          <w:p>
            <w:pPr>
              <w:pStyle w:val="TableParagraph"/>
              <w:ind w:left="311" w:right="310"/>
              <w:jc w:val="center"/>
              <w:rPr>
                <w:b/>
                <w:sz w:val="20"/>
              </w:rPr>
            </w:pPr>
            <w:r>
              <w:rPr>
                <w:b/>
                <w:sz w:val="20"/>
              </w:rPr>
              <w:t>FY23</w:t>
            </w:r>
          </w:p>
          <w:p>
            <w:pPr>
              <w:pStyle w:val="TableParagraph"/>
              <w:spacing w:line="210" w:lineRule="exact"/>
              <w:ind w:left="317" w:right="264"/>
              <w:jc w:val="center"/>
              <w:rPr>
                <w:b/>
                <w:sz w:val="20"/>
              </w:rPr>
            </w:pPr>
            <w:r>
              <w:rPr>
                <w:b/>
                <w:sz w:val="20"/>
              </w:rPr>
              <w:t>and after</w:t>
            </w:r>
          </w:p>
        </w:tc>
      </w:tr>
      <w:tr>
        <w:trPr>
          <w:trHeight w:val="412" w:hRule="atLeast"/>
        </w:trPr>
        <w:tc>
          <w:tcPr>
            <w:tcW w:w="3781" w:type="dxa"/>
          </w:tcPr>
          <w:p>
            <w:pPr>
              <w:pStyle w:val="TableParagraph"/>
              <w:spacing w:line="230" w:lineRule="exact" w:before="1"/>
              <w:rPr>
                <w:i/>
                <w:sz w:val="20"/>
              </w:rPr>
            </w:pPr>
            <w:r>
              <w:rPr>
                <w:i/>
                <w:sz w:val="20"/>
              </w:rPr>
              <w:t>Onsite Research</w:t>
            </w:r>
          </w:p>
          <w:p>
            <w:pPr>
              <w:pStyle w:val="TableParagraph"/>
              <w:spacing w:line="162" w:lineRule="exact"/>
              <w:rPr>
                <w:sz w:val="16"/>
              </w:rPr>
            </w:pPr>
            <w:r>
              <w:rPr>
                <w:sz w:val="16"/>
              </w:rPr>
              <w:t>Applied on MTDC* Base</w:t>
            </w:r>
          </w:p>
        </w:tc>
        <w:tc>
          <w:tcPr>
            <w:tcW w:w="1440" w:type="dxa"/>
          </w:tcPr>
          <w:p>
            <w:pPr>
              <w:pStyle w:val="TableParagraph"/>
              <w:spacing w:before="92"/>
              <w:ind w:left="261" w:right="242"/>
              <w:jc w:val="center"/>
              <w:rPr>
                <w:sz w:val="20"/>
              </w:rPr>
            </w:pPr>
            <w:r>
              <w:rPr>
                <w:sz w:val="20"/>
              </w:rPr>
              <w:t>68% Fixed</w:t>
            </w:r>
          </w:p>
        </w:tc>
        <w:tc>
          <w:tcPr>
            <w:tcW w:w="1532" w:type="dxa"/>
          </w:tcPr>
          <w:p>
            <w:pPr>
              <w:pStyle w:val="TableParagraph"/>
              <w:spacing w:before="92"/>
              <w:ind w:left="320" w:right="302"/>
              <w:jc w:val="center"/>
              <w:rPr>
                <w:sz w:val="20"/>
              </w:rPr>
            </w:pPr>
            <w:r>
              <w:rPr>
                <w:sz w:val="20"/>
              </w:rPr>
              <w:t>68% Prov.</w:t>
            </w:r>
          </w:p>
        </w:tc>
        <w:tc>
          <w:tcPr>
            <w:tcW w:w="1621" w:type="dxa"/>
          </w:tcPr>
          <w:p>
            <w:pPr>
              <w:pStyle w:val="TableParagraph"/>
              <w:spacing w:before="92"/>
              <w:ind w:left="363" w:right="350"/>
              <w:jc w:val="center"/>
              <w:rPr>
                <w:sz w:val="20"/>
              </w:rPr>
            </w:pPr>
            <w:r>
              <w:rPr>
                <w:sz w:val="20"/>
              </w:rPr>
              <w:t>68% Prov.</w:t>
            </w:r>
          </w:p>
        </w:tc>
        <w:tc>
          <w:tcPr>
            <w:tcW w:w="1529" w:type="dxa"/>
          </w:tcPr>
          <w:p>
            <w:pPr>
              <w:pStyle w:val="TableParagraph"/>
              <w:spacing w:before="92"/>
              <w:ind w:left="317" w:right="304"/>
              <w:jc w:val="center"/>
              <w:rPr>
                <w:sz w:val="20"/>
              </w:rPr>
            </w:pPr>
            <w:r>
              <w:rPr>
                <w:sz w:val="20"/>
              </w:rPr>
              <w:t>68% Prov.</w:t>
            </w:r>
          </w:p>
        </w:tc>
      </w:tr>
      <w:tr>
        <w:trPr>
          <w:trHeight w:val="414" w:hRule="atLeast"/>
        </w:trPr>
        <w:tc>
          <w:tcPr>
            <w:tcW w:w="3781" w:type="dxa"/>
          </w:tcPr>
          <w:p>
            <w:pPr>
              <w:pStyle w:val="TableParagraph"/>
              <w:rPr>
                <w:i/>
                <w:sz w:val="20"/>
              </w:rPr>
            </w:pPr>
            <w:r>
              <w:rPr>
                <w:i/>
                <w:sz w:val="20"/>
              </w:rPr>
              <w:t>Offsite Research**</w:t>
            </w:r>
          </w:p>
          <w:p>
            <w:pPr>
              <w:pStyle w:val="TableParagraph"/>
              <w:spacing w:line="163" w:lineRule="exact" w:before="2"/>
              <w:rPr>
                <w:sz w:val="16"/>
              </w:rPr>
            </w:pPr>
            <w:r>
              <w:rPr>
                <w:sz w:val="16"/>
              </w:rPr>
              <w:t>Applied on MTDC* Base</w:t>
            </w:r>
          </w:p>
        </w:tc>
        <w:tc>
          <w:tcPr>
            <w:tcW w:w="1440" w:type="dxa"/>
          </w:tcPr>
          <w:p>
            <w:pPr>
              <w:pStyle w:val="TableParagraph"/>
              <w:spacing w:before="94"/>
              <w:ind w:left="254" w:right="249"/>
              <w:jc w:val="center"/>
              <w:rPr>
                <w:sz w:val="20"/>
              </w:rPr>
            </w:pPr>
            <w:r>
              <w:rPr>
                <w:sz w:val="20"/>
              </w:rPr>
              <w:t>34% Fixed</w:t>
            </w:r>
          </w:p>
        </w:tc>
        <w:tc>
          <w:tcPr>
            <w:tcW w:w="1532" w:type="dxa"/>
          </w:tcPr>
          <w:p>
            <w:pPr>
              <w:pStyle w:val="TableParagraph"/>
              <w:spacing w:before="94"/>
              <w:ind w:left="312" w:right="309"/>
              <w:jc w:val="center"/>
              <w:rPr>
                <w:sz w:val="20"/>
              </w:rPr>
            </w:pPr>
            <w:r>
              <w:rPr>
                <w:sz w:val="20"/>
              </w:rPr>
              <w:t>34% Prov.</w:t>
            </w:r>
          </w:p>
        </w:tc>
        <w:tc>
          <w:tcPr>
            <w:tcW w:w="1621" w:type="dxa"/>
          </w:tcPr>
          <w:p>
            <w:pPr>
              <w:pStyle w:val="TableParagraph"/>
              <w:spacing w:before="94"/>
              <w:ind w:left="356" w:right="356"/>
              <w:jc w:val="center"/>
              <w:rPr>
                <w:sz w:val="20"/>
              </w:rPr>
            </w:pPr>
            <w:r>
              <w:rPr>
                <w:sz w:val="20"/>
              </w:rPr>
              <w:t>34% Prov.</w:t>
            </w:r>
          </w:p>
        </w:tc>
        <w:tc>
          <w:tcPr>
            <w:tcW w:w="1529" w:type="dxa"/>
          </w:tcPr>
          <w:p>
            <w:pPr>
              <w:pStyle w:val="TableParagraph"/>
              <w:spacing w:before="94"/>
              <w:ind w:left="310" w:right="310"/>
              <w:jc w:val="center"/>
              <w:rPr>
                <w:sz w:val="20"/>
              </w:rPr>
            </w:pPr>
            <w:r>
              <w:rPr>
                <w:sz w:val="20"/>
              </w:rPr>
              <w:t>34% </w:t>
            </w:r>
            <w:r>
              <w:rPr>
                <w:color w:val="333333"/>
                <w:sz w:val="20"/>
              </w:rPr>
              <w:t>Prov.</w:t>
            </w:r>
          </w:p>
        </w:tc>
      </w:tr>
      <w:tr>
        <w:trPr>
          <w:trHeight w:val="323" w:hRule="atLeast"/>
        </w:trPr>
        <w:tc>
          <w:tcPr>
            <w:tcW w:w="3781" w:type="dxa"/>
          </w:tcPr>
          <w:p>
            <w:pPr>
              <w:pStyle w:val="TableParagraph"/>
              <w:spacing w:before="46"/>
              <w:rPr>
                <w:i/>
                <w:sz w:val="20"/>
              </w:rPr>
            </w:pPr>
            <w:r>
              <w:rPr>
                <w:i/>
                <w:sz w:val="20"/>
              </w:rPr>
              <w:t>Industry-Sponsored Clinical Trials</w:t>
            </w:r>
          </w:p>
        </w:tc>
        <w:tc>
          <w:tcPr>
            <w:tcW w:w="6122" w:type="dxa"/>
            <w:gridSpan w:val="4"/>
          </w:tcPr>
          <w:p>
            <w:pPr>
              <w:pStyle w:val="TableParagraph"/>
              <w:spacing w:before="46"/>
              <w:ind w:left="765" w:right="757"/>
              <w:jc w:val="center"/>
              <w:rPr>
                <w:sz w:val="20"/>
              </w:rPr>
            </w:pPr>
            <w:r>
              <w:rPr>
                <w:sz w:val="20"/>
              </w:rPr>
              <w:t>30% Total Direct Cost Base; Cancer Trials 35% on TDC</w:t>
            </w:r>
          </w:p>
        </w:tc>
      </w:tr>
      <w:tr>
        <w:trPr>
          <w:trHeight w:val="258" w:hRule="atLeast"/>
        </w:trPr>
        <w:tc>
          <w:tcPr>
            <w:tcW w:w="3781" w:type="dxa"/>
          </w:tcPr>
          <w:p>
            <w:pPr>
              <w:pStyle w:val="TableParagraph"/>
              <w:spacing w:line="224" w:lineRule="exact" w:before="14"/>
              <w:rPr>
                <w:i/>
                <w:sz w:val="20"/>
              </w:rPr>
            </w:pPr>
            <w:r>
              <w:rPr>
                <w:i/>
                <w:sz w:val="20"/>
              </w:rPr>
              <w:t>Research Gifts and Sundry Funds</w:t>
            </w:r>
          </w:p>
        </w:tc>
        <w:tc>
          <w:tcPr>
            <w:tcW w:w="6122" w:type="dxa"/>
            <w:gridSpan w:val="4"/>
          </w:tcPr>
          <w:p>
            <w:pPr>
              <w:pStyle w:val="TableParagraph"/>
              <w:spacing w:line="224" w:lineRule="exact" w:before="14"/>
              <w:ind w:left="759" w:right="757"/>
              <w:jc w:val="center"/>
              <w:rPr>
                <w:sz w:val="20"/>
              </w:rPr>
            </w:pPr>
            <w:r>
              <w:rPr>
                <w:sz w:val="20"/>
              </w:rPr>
              <w:t>15%   MTDC* Base</w:t>
            </w:r>
          </w:p>
        </w:tc>
      </w:tr>
    </w:tbl>
    <w:p>
      <w:pPr>
        <w:spacing w:line="207" w:lineRule="exact" w:before="139"/>
        <w:ind w:left="140" w:right="0" w:firstLine="0"/>
        <w:jc w:val="left"/>
        <w:rPr>
          <w:sz w:val="18"/>
        </w:rPr>
      </w:pPr>
      <w:r>
        <w:rPr>
          <w:sz w:val="18"/>
        </w:rPr>
        <w:t>*Modified Total Direct Cost (MTDC) Base: Total direct costs, excluding: equipment costs; those portions of subcontracts in excess of</w:t>
      </w:r>
    </w:p>
    <w:p>
      <w:pPr>
        <w:spacing w:line="207" w:lineRule="exact" w:before="0"/>
        <w:ind w:left="140" w:right="0" w:firstLine="0"/>
        <w:jc w:val="left"/>
        <w:rPr>
          <w:sz w:val="18"/>
        </w:rPr>
      </w:pPr>
      <w:r>
        <w:rPr>
          <w:sz w:val="18"/>
        </w:rPr>
        <w:t>$25,000; alteration and renovation costs; hospitalization and other fees related to patient care.</w:t>
      </w:r>
    </w:p>
    <w:p>
      <w:pPr>
        <w:spacing w:before="114"/>
        <w:ind w:left="140" w:right="106" w:firstLine="0"/>
        <w:jc w:val="both"/>
        <w:rPr>
          <w:sz w:val="18"/>
        </w:rPr>
      </w:pPr>
      <w:r>
        <w:rPr>
          <w:sz w:val="18"/>
        </w:rPr>
        <w:t>**Off-Site Rate Definition: For all activities performed in facilities not owned by the organization and to which rent is directly allocated to the project(s), the off-site rate will apply. Grants or contracts will not be subject to more than one indirect cost rate. If more than 50% of a project is performed off-site, the off-site rate will apply to the entire project.</w:t>
      </w:r>
    </w:p>
    <w:sectPr>
      <w:type w:val="continuous"/>
      <w:pgSz w:w="12240" w:h="15840"/>
      <w:pgMar w:top="1360" w:bottom="280" w:left="9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dc:title>October 15, 2007</dc:title>
  <dcterms:created xsi:type="dcterms:W3CDTF">2020-11-19T15:42:46Z</dcterms:created>
  <dcterms:modified xsi:type="dcterms:W3CDTF">2020-11-19T15:42:46Z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for Office 365</vt:lpwstr>
  </property>
  <property fmtid="{D5CDD505-2E9C-101B-9397-08002B2CF9AE}" pid="4" name="LastSaved">
    <vt:filetime>2020-11-19T00:00:00Z</vt:filetime>
  </property>
</Properties>
</file>