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9FBE8" w14:textId="77777777" w:rsidR="000B267D" w:rsidRPr="000B267D" w:rsidRDefault="00EA1695" w:rsidP="000B267D">
      <w:pPr>
        <w:pStyle w:val="NormalWeb"/>
        <w:jc w:val="center"/>
        <w:rPr>
          <w:rFonts w:ascii="Arial" w:hAnsi="Arial" w:cs="Arial"/>
          <w:b/>
          <w:bCs/>
          <w:sz w:val="24"/>
          <w:szCs w:val="24"/>
        </w:rPr>
      </w:pPr>
      <w:r w:rsidRPr="000B267D">
        <w:rPr>
          <w:rFonts w:ascii="Arial" w:hAnsi="Arial" w:cs="Arial"/>
          <w:b/>
          <w:bCs/>
          <w:sz w:val="24"/>
          <w:szCs w:val="24"/>
        </w:rPr>
        <w:t>MGB Postdoctoral Salary Update, Full PGY Levels</w:t>
      </w:r>
    </w:p>
    <w:p w14:paraId="15601413" w14:textId="44F0853A" w:rsidR="00EA1695" w:rsidRPr="000B267D" w:rsidRDefault="008651DD" w:rsidP="000B267D">
      <w:pPr>
        <w:pStyle w:val="NormalWeb"/>
        <w:jc w:val="center"/>
        <w:rPr>
          <w:rFonts w:ascii="Arial" w:hAnsi="Arial" w:cs="Arial"/>
          <w:b/>
          <w:bCs/>
          <w:color w:val="403F42"/>
          <w:sz w:val="24"/>
          <w:szCs w:val="24"/>
        </w:rPr>
      </w:pPr>
      <w:r w:rsidRPr="000B267D">
        <w:rPr>
          <w:rFonts w:ascii="Arial" w:hAnsi="Arial" w:cs="Arial"/>
          <w:b/>
          <w:bCs/>
          <w:sz w:val="24"/>
          <w:szCs w:val="24"/>
        </w:rPr>
        <w:t xml:space="preserve"> </w:t>
      </w:r>
      <w:r w:rsidRPr="000B267D">
        <w:rPr>
          <w:rFonts w:ascii="Arial" w:hAnsi="Arial" w:cs="Arial"/>
          <w:b/>
          <w:bCs/>
          <w:color w:val="FF0000"/>
          <w:sz w:val="24"/>
          <w:szCs w:val="24"/>
        </w:rPr>
        <w:t>E</w:t>
      </w:r>
      <w:r w:rsidR="000B267D">
        <w:rPr>
          <w:rFonts w:ascii="Arial" w:hAnsi="Arial" w:cs="Arial"/>
          <w:b/>
          <w:bCs/>
          <w:color w:val="FF0000"/>
          <w:sz w:val="24"/>
          <w:szCs w:val="24"/>
        </w:rPr>
        <w:t xml:space="preserve">ffective </w:t>
      </w:r>
      <w:r w:rsidR="00EA1695" w:rsidRPr="000B267D">
        <w:rPr>
          <w:rFonts w:ascii="Arial" w:hAnsi="Arial" w:cs="Arial"/>
          <w:b/>
          <w:bCs/>
          <w:color w:val="FF0000"/>
          <w:sz w:val="24"/>
          <w:szCs w:val="24"/>
        </w:rPr>
        <w:t>Oct 1</w:t>
      </w:r>
      <w:r w:rsidR="00EA1695" w:rsidRPr="000B267D">
        <w:rPr>
          <w:rFonts w:ascii="Arial" w:hAnsi="Arial" w:cs="Arial"/>
          <w:b/>
          <w:bCs/>
          <w:color w:val="FF0000"/>
          <w:sz w:val="24"/>
          <w:szCs w:val="24"/>
          <w:vertAlign w:val="superscript"/>
        </w:rPr>
        <w:t>st</w:t>
      </w:r>
      <w:r w:rsidR="00EA1695" w:rsidRPr="000B267D">
        <w:rPr>
          <w:rFonts w:ascii="Arial" w:hAnsi="Arial" w:cs="Arial"/>
          <w:b/>
          <w:bCs/>
          <w:color w:val="FF0000"/>
          <w:sz w:val="24"/>
          <w:szCs w:val="24"/>
        </w:rPr>
        <w:t>, 2024</w:t>
      </w:r>
    </w:p>
    <w:p w14:paraId="0844B944" w14:textId="77777777" w:rsidR="00EA1695" w:rsidRDefault="00EA1695" w:rsidP="00EA1695">
      <w:pPr>
        <w:pStyle w:val="NormalWeb"/>
        <w:rPr>
          <w:rFonts w:ascii="Arial" w:hAnsi="Arial" w:cs="Arial"/>
          <w:color w:val="403F42"/>
          <w:sz w:val="21"/>
          <w:szCs w:val="21"/>
        </w:rPr>
      </w:pPr>
      <w:r>
        <w:rPr>
          <w:rFonts w:ascii="Arial" w:hAnsi="Arial" w:cs="Arial"/>
          <w:color w:val="403F42"/>
          <w:sz w:val="21"/>
          <w:szCs w:val="21"/>
        </w:rPr>
        <w:br/>
      </w:r>
      <w:r>
        <w:rPr>
          <w:rFonts w:ascii="Arial" w:hAnsi="Arial" w:cs="Arial"/>
          <w:color w:val="403F42"/>
          <w:sz w:val="21"/>
          <w:szCs w:val="21"/>
        </w:rPr>
        <w:t>In response to unanticipated changes in the NIH NRSA salary scale (now and in coming years), MGB will be modifying our approach to the postdoc salary scale which will go into effect on October 1</w:t>
      </w:r>
      <w:r>
        <w:rPr>
          <w:rFonts w:ascii="Arial" w:hAnsi="Arial" w:cs="Arial"/>
          <w:color w:val="403F42"/>
          <w:sz w:val="21"/>
          <w:szCs w:val="21"/>
          <w:vertAlign w:val="superscript"/>
        </w:rPr>
        <w:t>st</w:t>
      </w:r>
      <w:r>
        <w:rPr>
          <w:rFonts w:ascii="Arial" w:hAnsi="Arial" w:cs="Arial"/>
          <w:color w:val="403F42"/>
          <w:sz w:val="21"/>
          <w:szCs w:val="21"/>
        </w:rPr>
        <w:t xml:space="preserve">, </w:t>
      </w:r>
      <w:proofErr w:type="gramStart"/>
      <w:r>
        <w:rPr>
          <w:rFonts w:ascii="Arial" w:hAnsi="Arial" w:cs="Arial"/>
          <w:color w:val="403F42"/>
          <w:sz w:val="21"/>
          <w:szCs w:val="21"/>
        </w:rPr>
        <w:t>2024</w:t>
      </w:r>
      <w:proofErr w:type="gramEnd"/>
    </w:p>
    <w:p w14:paraId="4C3AACFA" w14:textId="60611A8F" w:rsidR="00EA1695" w:rsidRPr="00EA1695" w:rsidRDefault="00EA1695" w:rsidP="00EA1695">
      <w:pPr>
        <w:pStyle w:val="NormalWeb"/>
        <w:rPr>
          <w:rFonts w:ascii="Arial" w:hAnsi="Arial" w:cs="Arial"/>
          <w:color w:val="3E3E3E"/>
          <w:sz w:val="21"/>
          <w:szCs w:val="21"/>
        </w:rPr>
      </w:pPr>
      <w:r>
        <w:rPr>
          <w:rFonts w:ascii="Arial" w:hAnsi="Arial" w:cs="Arial"/>
          <w:color w:val="403F42"/>
          <w:sz w:val="21"/>
          <w:szCs w:val="21"/>
        </w:rPr>
        <w:br/>
      </w:r>
      <w:r>
        <w:rPr>
          <w:rFonts w:ascii="Arial" w:hAnsi="Arial" w:cs="Arial"/>
          <w:color w:val="403F42"/>
          <w:sz w:val="21"/>
          <w:szCs w:val="21"/>
        </w:rPr>
        <w:t>There are many perspectives on what the appropriate MGB salary floor for October 1st should be. After much discussion with leadership, faculty members and research fellows across the system, we will be adopting the following salary scale</w:t>
      </w:r>
      <w:r>
        <w:rPr>
          <w:rFonts w:ascii="Arial" w:hAnsi="Arial" w:cs="Arial"/>
          <w:color w:val="403F42"/>
          <w:sz w:val="21"/>
          <w:szCs w:val="21"/>
        </w:rPr>
        <w:t>.</w:t>
      </w:r>
    </w:p>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EA1695" w14:paraId="08488815" w14:textId="77777777" w:rsidTr="00EA1695">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EA1695" w14:paraId="36D726DC" w14:textId="77777777">
              <w:trPr>
                <w:tblCellSpacing w:w="0" w:type="dxa"/>
                <w:jc w:val="center"/>
              </w:trPr>
              <w:tc>
                <w:tcPr>
                  <w:tcW w:w="0" w:type="auto"/>
                  <w:tcMar>
                    <w:top w:w="150" w:type="dxa"/>
                    <w:left w:w="600" w:type="dxa"/>
                    <w:bottom w:w="150" w:type="dxa"/>
                    <w:right w:w="600" w:type="dxa"/>
                  </w:tcMar>
                  <w:hideMark/>
                </w:tcPr>
                <w:tbl>
                  <w:tblPr>
                    <w:tblW w:w="5000" w:type="pct"/>
                    <w:shd w:val="clear" w:color="auto" w:fill="E9E9E9"/>
                    <w:tblCellMar>
                      <w:left w:w="0" w:type="dxa"/>
                      <w:right w:w="0" w:type="dxa"/>
                    </w:tblCellMar>
                    <w:tblLook w:val="04A0" w:firstRow="1" w:lastRow="0" w:firstColumn="1" w:lastColumn="0" w:noHBand="0" w:noVBand="1"/>
                  </w:tblPr>
                  <w:tblGrid>
                    <w:gridCol w:w="3309"/>
                    <w:gridCol w:w="4831"/>
                  </w:tblGrid>
                  <w:tr w:rsidR="00EA1695" w14:paraId="0DABCB38" w14:textId="77777777" w:rsidTr="00EA1695">
                    <w:tc>
                      <w:tcPr>
                        <w:tcW w:w="0" w:type="auto"/>
                        <w:tcBorders>
                          <w:top w:val="single" w:sz="8" w:space="0" w:color="A6A6A6"/>
                          <w:left w:val="single" w:sz="8" w:space="0" w:color="A6A6A6"/>
                          <w:bottom w:val="single" w:sz="8" w:space="0" w:color="A6A6A6"/>
                          <w:right w:val="single" w:sz="8" w:space="0" w:color="A6A6A6"/>
                        </w:tcBorders>
                        <w:shd w:val="clear" w:color="auto" w:fill="B1E4E3"/>
                        <w:tcMar>
                          <w:top w:w="150" w:type="dxa"/>
                          <w:left w:w="150" w:type="dxa"/>
                          <w:bottom w:w="150" w:type="dxa"/>
                          <w:right w:w="150" w:type="dxa"/>
                        </w:tcMar>
                        <w:hideMark/>
                      </w:tcPr>
                      <w:p w14:paraId="5C0A06E1" w14:textId="77777777" w:rsidR="00EA1695" w:rsidRDefault="00EA1695">
                        <w:pPr>
                          <w:pStyle w:val="NormalWeb"/>
                          <w:jc w:val="center"/>
                          <w:rPr>
                            <w:rFonts w:ascii="Arial" w:hAnsi="Arial" w:cs="Arial"/>
                            <w:color w:val="3E3E3E"/>
                            <w:sz w:val="21"/>
                            <w:szCs w:val="21"/>
                          </w:rPr>
                        </w:pPr>
                        <w:r>
                          <w:rPr>
                            <w:rFonts w:ascii="Arial" w:hAnsi="Arial" w:cs="Arial"/>
                            <w:b/>
                            <w:bCs/>
                            <w:color w:val="3E3E3E"/>
                            <w:sz w:val="21"/>
                            <w:szCs w:val="21"/>
                          </w:rPr>
                          <w:t>PGY level</w:t>
                        </w:r>
                      </w:p>
                    </w:tc>
                    <w:tc>
                      <w:tcPr>
                        <w:tcW w:w="0" w:type="auto"/>
                        <w:tcBorders>
                          <w:top w:val="single" w:sz="8" w:space="0" w:color="A6A6A6"/>
                          <w:left w:val="nil"/>
                          <w:bottom w:val="single" w:sz="8" w:space="0" w:color="A6A6A6"/>
                          <w:right w:val="single" w:sz="8" w:space="0" w:color="A6A6A6"/>
                        </w:tcBorders>
                        <w:shd w:val="clear" w:color="auto" w:fill="B1E4E3"/>
                        <w:tcMar>
                          <w:top w:w="150" w:type="dxa"/>
                          <w:left w:w="150" w:type="dxa"/>
                          <w:bottom w:w="150" w:type="dxa"/>
                          <w:right w:w="150" w:type="dxa"/>
                        </w:tcMar>
                        <w:hideMark/>
                      </w:tcPr>
                      <w:p w14:paraId="07B6DF93" w14:textId="77777777" w:rsidR="00EA1695" w:rsidRDefault="00EA1695">
                        <w:pPr>
                          <w:pStyle w:val="NormalWeb"/>
                          <w:jc w:val="center"/>
                          <w:rPr>
                            <w:rFonts w:ascii="Arial" w:hAnsi="Arial" w:cs="Arial"/>
                            <w:color w:val="3E3E3E"/>
                            <w:sz w:val="21"/>
                            <w:szCs w:val="21"/>
                          </w:rPr>
                        </w:pPr>
                        <w:r>
                          <w:rPr>
                            <w:rFonts w:ascii="Arial" w:hAnsi="Arial" w:cs="Arial"/>
                            <w:b/>
                            <w:bCs/>
                            <w:color w:val="3E3E3E"/>
                            <w:sz w:val="21"/>
                            <w:szCs w:val="21"/>
                          </w:rPr>
                          <w:t>Base year/FY25</w:t>
                        </w:r>
                      </w:p>
                    </w:tc>
                  </w:tr>
                  <w:tr w:rsidR="00EA1695" w14:paraId="1E627D17" w14:textId="77777777" w:rsidTr="00EA1695">
                    <w:tc>
                      <w:tcPr>
                        <w:tcW w:w="0" w:type="auto"/>
                        <w:tcBorders>
                          <w:top w:val="nil"/>
                          <w:left w:val="single" w:sz="8" w:space="0" w:color="A6A6A6"/>
                          <w:bottom w:val="single" w:sz="8" w:space="0" w:color="A6A6A6"/>
                          <w:right w:val="single" w:sz="8" w:space="0" w:color="A6A6A6"/>
                        </w:tcBorders>
                        <w:shd w:val="clear" w:color="auto" w:fill="E9E9E9"/>
                        <w:tcMar>
                          <w:top w:w="150" w:type="dxa"/>
                          <w:left w:w="150" w:type="dxa"/>
                          <w:bottom w:w="150" w:type="dxa"/>
                          <w:right w:w="150" w:type="dxa"/>
                        </w:tcMar>
                        <w:hideMark/>
                      </w:tcPr>
                      <w:p w14:paraId="129FDB65"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0</w:t>
                        </w:r>
                      </w:p>
                    </w:tc>
                    <w:tc>
                      <w:tcPr>
                        <w:tcW w:w="0" w:type="auto"/>
                        <w:tcBorders>
                          <w:top w:val="nil"/>
                          <w:left w:val="nil"/>
                          <w:bottom w:val="single" w:sz="8" w:space="0" w:color="A6A6A6"/>
                          <w:right w:val="single" w:sz="8" w:space="0" w:color="A6A6A6"/>
                        </w:tcBorders>
                        <w:shd w:val="clear" w:color="auto" w:fill="E9E9E9"/>
                        <w:tcMar>
                          <w:top w:w="150" w:type="dxa"/>
                          <w:left w:w="150" w:type="dxa"/>
                          <w:bottom w:w="150" w:type="dxa"/>
                          <w:right w:w="150" w:type="dxa"/>
                        </w:tcMar>
                        <w:hideMark/>
                      </w:tcPr>
                      <w:p w14:paraId="19B06013"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 xml:space="preserve">$ 70,000 </w:t>
                        </w:r>
                      </w:p>
                    </w:tc>
                  </w:tr>
                  <w:tr w:rsidR="00EA1695" w14:paraId="1231FEB7" w14:textId="77777777" w:rsidTr="00EA1695">
                    <w:tc>
                      <w:tcPr>
                        <w:tcW w:w="0" w:type="auto"/>
                        <w:tcBorders>
                          <w:top w:val="nil"/>
                          <w:left w:val="single" w:sz="8" w:space="0" w:color="A6A6A6"/>
                          <w:bottom w:val="single" w:sz="8" w:space="0" w:color="A6A6A6"/>
                          <w:right w:val="single" w:sz="8" w:space="0" w:color="A6A6A6"/>
                        </w:tcBorders>
                        <w:shd w:val="clear" w:color="auto" w:fill="E9E9E9"/>
                        <w:tcMar>
                          <w:top w:w="150" w:type="dxa"/>
                          <w:left w:w="150" w:type="dxa"/>
                          <w:bottom w:w="150" w:type="dxa"/>
                          <w:right w:w="150" w:type="dxa"/>
                        </w:tcMar>
                        <w:hideMark/>
                      </w:tcPr>
                      <w:p w14:paraId="43659A12"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1</w:t>
                        </w:r>
                      </w:p>
                    </w:tc>
                    <w:tc>
                      <w:tcPr>
                        <w:tcW w:w="0" w:type="auto"/>
                        <w:tcBorders>
                          <w:top w:val="nil"/>
                          <w:left w:val="nil"/>
                          <w:bottom w:val="single" w:sz="8" w:space="0" w:color="A6A6A6"/>
                          <w:right w:val="single" w:sz="8" w:space="0" w:color="A6A6A6"/>
                        </w:tcBorders>
                        <w:shd w:val="clear" w:color="auto" w:fill="E9E9E9"/>
                        <w:tcMar>
                          <w:top w:w="150" w:type="dxa"/>
                          <w:left w:w="150" w:type="dxa"/>
                          <w:bottom w:w="150" w:type="dxa"/>
                          <w:right w:w="150" w:type="dxa"/>
                        </w:tcMar>
                        <w:hideMark/>
                      </w:tcPr>
                      <w:p w14:paraId="2BD47FA7"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 xml:space="preserve">$ 71,750 </w:t>
                        </w:r>
                      </w:p>
                    </w:tc>
                  </w:tr>
                  <w:tr w:rsidR="00EA1695" w14:paraId="6CF6D029" w14:textId="77777777" w:rsidTr="00EA1695">
                    <w:tc>
                      <w:tcPr>
                        <w:tcW w:w="0" w:type="auto"/>
                        <w:tcBorders>
                          <w:top w:val="nil"/>
                          <w:left w:val="single" w:sz="8" w:space="0" w:color="A6A6A6"/>
                          <w:bottom w:val="single" w:sz="8" w:space="0" w:color="A6A6A6"/>
                          <w:right w:val="single" w:sz="8" w:space="0" w:color="A6A6A6"/>
                        </w:tcBorders>
                        <w:shd w:val="clear" w:color="auto" w:fill="E9E9E9"/>
                        <w:tcMar>
                          <w:top w:w="150" w:type="dxa"/>
                          <w:left w:w="150" w:type="dxa"/>
                          <w:bottom w:w="150" w:type="dxa"/>
                          <w:right w:w="150" w:type="dxa"/>
                        </w:tcMar>
                        <w:hideMark/>
                      </w:tcPr>
                      <w:p w14:paraId="23056C2D"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2</w:t>
                        </w:r>
                      </w:p>
                    </w:tc>
                    <w:tc>
                      <w:tcPr>
                        <w:tcW w:w="0" w:type="auto"/>
                        <w:tcBorders>
                          <w:top w:val="nil"/>
                          <w:left w:val="nil"/>
                          <w:bottom w:val="single" w:sz="8" w:space="0" w:color="A6A6A6"/>
                          <w:right w:val="single" w:sz="8" w:space="0" w:color="A6A6A6"/>
                        </w:tcBorders>
                        <w:shd w:val="clear" w:color="auto" w:fill="E9E9E9"/>
                        <w:tcMar>
                          <w:top w:w="150" w:type="dxa"/>
                          <w:left w:w="150" w:type="dxa"/>
                          <w:bottom w:w="150" w:type="dxa"/>
                          <w:right w:w="150" w:type="dxa"/>
                        </w:tcMar>
                        <w:hideMark/>
                      </w:tcPr>
                      <w:p w14:paraId="2213CEF2"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 xml:space="preserve">$ 73,544 </w:t>
                        </w:r>
                      </w:p>
                    </w:tc>
                  </w:tr>
                  <w:tr w:rsidR="00EA1695" w14:paraId="3AEBD5ED" w14:textId="77777777" w:rsidTr="00EA1695">
                    <w:tc>
                      <w:tcPr>
                        <w:tcW w:w="0" w:type="auto"/>
                        <w:tcBorders>
                          <w:top w:val="nil"/>
                          <w:left w:val="single" w:sz="8" w:space="0" w:color="A6A6A6"/>
                          <w:bottom w:val="single" w:sz="8" w:space="0" w:color="A6A6A6"/>
                          <w:right w:val="single" w:sz="8" w:space="0" w:color="A6A6A6"/>
                        </w:tcBorders>
                        <w:shd w:val="clear" w:color="auto" w:fill="E9E9E9"/>
                        <w:tcMar>
                          <w:top w:w="150" w:type="dxa"/>
                          <w:left w:w="150" w:type="dxa"/>
                          <w:bottom w:w="150" w:type="dxa"/>
                          <w:right w:w="150" w:type="dxa"/>
                        </w:tcMar>
                        <w:hideMark/>
                      </w:tcPr>
                      <w:p w14:paraId="539CA237"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3</w:t>
                        </w:r>
                      </w:p>
                    </w:tc>
                    <w:tc>
                      <w:tcPr>
                        <w:tcW w:w="0" w:type="auto"/>
                        <w:tcBorders>
                          <w:top w:val="nil"/>
                          <w:left w:val="nil"/>
                          <w:bottom w:val="single" w:sz="8" w:space="0" w:color="A6A6A6"/>
                          <w:right w:val="single" w:sz="8" w:space="0" w:color="A6A6A6"/>
                        </w:tcBorders>
                        <w:shd w:val="clear" w:color="auto" w:fill="E9E9E9"/>
                        <w:tcMar>
                          <w:top w:w="150" w:type="dxa"/>
                          <w:left w:w="150" w:type="dxa"/>
                          <w:bottom w:w="150" w:type="dxa"/>
                          <w:right w:w="150" w:type="dxa"/>
                        </w:tcMar>
                        <w:hideMark/>
                      </w:tcPr>
                      <w:p w14:paraId="3B07F26B"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 xml:space="preserve">$ 75,382 </w:t>
                        </w:r>
                      </w:p>
                    </w:tc>
                  </w:tr>
                  <w:tr w:rsidR="00EA1695" w14:paraId="0C62F419" w14:textId="77777777" w:rsidTr="00EA1695">
                    <w:tc>
                      <w:tcPr>
                        <w:tcW w:w="0" w:type="auto"/>
                        <w:tcBorders>
                          <w:top w:val="nil"/>
                          <w:left w:val="single" w:sz="8" w:space="0" w:color="A6A6A6"/>
                          <w:bottom w:val="single" w:sz="8" w:space="0" w:color="A6A6A6"/>
                          <w:right w:val="single" w:sz="8" w:space="0" w:color="A6A6A6"/>
                        </w:tcBorders>
                        <w:shd w:val="clear" w:color="auto" w:fill="E9E9E9"/>
                        <w:tcMar>
                          <w:top w:w="150" w:type="dxa"/>
                          <w:left w:w="150" w:type="dxa"/>
                          <w:bottom w:w="150" w:type="dxa"/>
                          <w:right w:w="150" w:type="dxa"/>
                        </w:tcMar>
                        <w:hideMark/>
                      </w:tcPr>
                      <w:p w14:paraId="047AC3E3"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4+</w:t>
                        </w:r>
                      </w:p>
                    </w:tc>
                    <w:tc>
                      <w:tcPr>
                        <w:tcW w:w="0" w:type="auto"/>
                        <w:tcBorders>
                          <w:top w:val="nil"/>
                          <w:left w:val="nil"/>
                          <w:bottom w:val="single" w:sz="8" w:space="0" w:color="A6A6A6"/>
                          <w:right w:val="single" w:sz="8" w:space="0" w:color="A6A6A6"/>
                        </w:tcBorders>
                        <w:shd w:val="clear" w:color="auto" w:fill="E9E9E9"/>
                        <w:tcMar>
                          <w:top w:w="150" w:type="dxa"/>
                          <w:left w:w="150" w:type="dxa"/>
                          <w:bottom w:w="150" w:type="dxa"/>
                          <w:right w:w="150" w:type="dxa"/>
                        </w:tcMar>
                        <w:hideMark/>
                      </w:tcPr>
                      <w:p w14:paraId="74B98652" w14:textId="77777777" w:rsidR="00EA1695" w:rsidRDefault="00EA1695">
                        <w:pPr>
                          <w:pStyle w:val="NormalWeb"/>
                          <w:jc w:val="center"/>
                          <w:rPr>
                            <w:rFonts w:ascii="Arial" w:hAnsi="Arial" w:cs="Arial"/>
                            <w:color w:val="3E3E3E"/>
                            <w:sz w:val="21"/>
                            <w:szCs w:val="21"/>
                          </w:rPr>
                        </w:pPr>
                        <w:r>
                          <w:rPr>
                            <w:rFonts w:ascii="Arial" w:hAnsi="Arial" w:cs="Arial"/>
                            <w:color w:val="3E3E3E"/>
                            <w:sz w:val="21"/>
                            <w:szCs w:val="21"/>
                          </w:rPr>
                          <w:t>$ 77,267</w:t>
                        </w:r>
                      </w:p>
                    </w:tc>
                  </w:tr>
                </w:tbl>
                <w:p w14:paraId="4B3B23BF" w14:textId="77777777" w:rsidR="00EA1695" w:rsidRDefault="00EA1695">
                  <w:pPr>
                    <w:rPr>
                      <w:rFonts w:ascii="Times New Roman" w:eastAsia="Times New Roman" w:hAnsi="Times New Roman" w:cs="Times New Roman"/>
                      <w:sz w:val="20"/>
                      <w:szCs w:val="20"/>
                    </w:rPr>
                  </w:pPr>
                </w:p>
              </w:tc>
            </w:tr>
          </w:tbl>
          <w:p w14:paraId="76FAA2E8" w14:textId="77777777" w:rsidR="00EA1695" w:rsidRDefault="00EA1695">
            <w:pPr>
              <w:jc w:val="center"/>
              <w:rPr>
                <w:rFonts w:ascii="Times New Roman" w:eastAsia="Times New Roman" w:hAnsi="Times New Roman" w:cs="Times New Roman"/>
                <w:sz w:val="20"/>
                <w:szCs w:val="20"/>
              </w:rPr>
            </w:pPr>
          </w:p>
        </w:tc>
      </w:tr>
    </w:tbl>
    <w:p w14:paraId="61995363" w14:textId="77777777" w:rsidR="00EA1695" w:rsidRDefault="00EA1695" w:rsidP="00EA1695">
      <w:pPr>
        <w:jc w:val="center"/>
        <w:rPr>
          <w:rFonts w:ascii="Calibri" w:hAnsi="Calibri" w:cs="Calibri"/>
        </w:rPr>
      </w:pPr>
    </w:p>
    <w:p w14:paraId="7323A385" w14:textId="77777777" w:rsidR="00EA1695" w:rsidRDefault="00EA1695"/>
    <w:sectPr w:rsidR="00EA16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695"/>
    <w:rsid w:val="000B267D"/>
    <w:rsid w:val="008651DD"/>
    <w:rsid w:val="009B3ACA"/>
    <w:rsid w:val="00EA16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6667D"/>
  <w15:chartTrackingRefBased/>
  <w15:docId w15:val="{F1D0310B-2634-435B-AD39-76C08857A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A1695"/>
    <w:pPr>
      <w:spacing w:before="100" w:beforeAutospacing="1" w:after="100" w:afterAutospacing="1" w:line="240" w:lineRule="auto"/>
    </w:pPr>
    <w:rPr>
      <w:rFonts w:ascii="Calibri" w:hAnsi="Calibri" w:cs="Calibri"/>
      <w:kern w:val="0"/>
      <w14:ligatures w14:val="none"/>
    </w:rPr>
  </w:style>
  <w:style w:type="character" w:styleId="Hyperlink">
    <w:name w:val="Hyperlink"/>
    <w:basedOn w:val="DefaultParagraphFont"/>
    <w:uiPriority w:val="99"/>
    <w:semiHidden/>
    <w:unhideWhenUsed/>
    <w:rsid w:val="00EA16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662076">
      <w:bodyDiv w:val="1"/>
      <w:marLeft w:val="0"/>
      <w:marRight w:val="0"/>
      <w:marTop w:val="0"/>
      <w:marBottom w:val="0"/>
      <w:divBdr>
        <w:top w:val="none" w:sz="0" w:space="0" w:color="auto"/>
        <w:left w:val="none" w:sz="0" w:space="0" w:color="auto"/>
        <w:bottom w:val="none" w:sz="0" w:space="0" w:color="auto"/>
        <w:right w:val="none" w:sz="0" w:space="0" w:color="auto"/>
      </w:divBdr>
    </w:div>
    <w:div w:id="1071267400">
      <w:bodyDiv w:val="1"/>
      <w:marLeft w:val="0"/>
      <w:marRight w:val="0"/>
      <w:marTop w:val="0"/>
      <w:marBottom w:val="0"/>
      <w:divBdr>
        <w:top w:val="none" w:sz="0" w:space="0" w:color="auto"/>
        <w:left w:val="none" w:sz="0" w:space="0" w:color="auto"/>
        <w:bottom w:val="none" w:sz="0" w:space="0" w:color="auto"/>
        <w:right w:val="none" w:sz="0" w:space="0" w:color="auto"/>
      </w:divBdr>
    </w:div>
    <w:div w:id="12486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91</Words>
  <Characters>523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Bouraslan, Jinan B.</dc:creator>
  <cp:keywords/>
  <dc:description/>
  <cp:lastModifiedBy>Bouraslan, Jinan B.</cp:lastModifiedBy>
  <cp:revision>2</cp:revision>
  <dcterms:created xsi:type="dcterms:W3CDTF">2024-06-21T11:46:00Z</dcterms:created>
  <dcterms:modified xsi:type="dcterms:W3CDTF">2024-06-21T11:59:00Z</dcterms:modified>
</cp:coreProperties>
</file>